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pageBreakBefore w:val="0"/>
        <w:widowControl/>
        <w:kinsoku/>
        <w:wordWrap/>
        <w:overflowPunct/>
        <w:topLinePunct w:val="0"/>
        <w:autoSpaceDE/>
        <w:autoSpaceDN/>
        <w:bidi w:val="0"/>
        <w:adjustRightInd/>
        <w:snapToGrid/>
        <w:spacing w:before="75" w:beforeAutospacing="0" w:after="75" w:afterAutospacing="0" w:line="360" w:lineRule="atLeast"/>
        <w:jc w:val="both"/>
        <w:textAlignment w:val="auto"/>
        <w:rPr>
          <w:rFonts w:ascii="仿宋" w:hAnsi="仿宋" w:eastAsia="仿宋" w:cs="仿宋"/>
          <w:color w:val="auto"/>
        </w:rPr>
      </w:pPr>
    </w:p>
    <w:p>
      <w:pPr>
        <w:pStyle w:val="17"/>
        <w:keepNext w:val="0"/>
        <w:keepLines w:val="0"/>
        <w:pageBreakBefore w:val="0"/>
        <w:widowControl/>
        <w:kinsoku/>
        <w:wordWrap/>
        <w:overflowPunct/>
        <w:topLinePunct w:val="0"/>
        <w:autoSpaceDE/>
        <w:autoSpaceDN/>
        <w:bidi w:val="0"/>
        <w:adjustRightInd/>
        <w:snapToGrid/>
        <w:spacing w:before="75" w:beforeAutospacing="0" w:after="75" w:afterAutospacing="0" w:line="360" w:lineRule="atLeast"/>
        <w:textAlignment w:val="auto"/>
        <w:rPr>
          <w:rFonts w:ascii="仿宋" w:hAnsi="仿宋" w:eastAsia="仿宋" w:cs="仿宋"/>
          <w:color w:val="auto"/>
        </w:rPr>
      </w:pPr>
    </w:p>
    <w:p>
      <w:pPr>
        <w:keepNext w:val="0"/>
        <w:keepLines w:val="0"/>
        <w:pageBreakBefore w:val="0"/>
        <w:kinsoku/>
        <w:wordWrap/>
        <w:overflowPunct/>
        <w:topLinePunct w:val="0"/>
        <w:autoSpaceDE/>
        <w:autoSpaceDN/>
        <w:bidi w:val="0"/>
        <w:adjustRightInd/>
        <w:snapToGrid/>
        <w:spacing w:line="360" w:lineRule="atLeast"/>
        <w:jc w:val="center"/>
        <w:textAlignment w:val="auto"/>
        <w:rPr>
          <w:rFonts w:ascii="仿宋" w:hAnsi="仿宋" w:eastAsia="仿宋" w:cs="仿宋"/>
          <w:b/>
          <w:color w:val="auto"/>
          <w:sz w:val="52"/>
          <w:szCs w:val="52"/>
        </w:rPr>
      </w:pPr>
    </w:p>
    <w:p>
      <w:pPr>
        <w:keepNext w:val="0"/>
        <w:keepLines w:val="0"/>
        <w:pageBreakBefore w:val="0"/>
        <w:kinsoku/>
        <w:wordWrap/>
        <w:overflowPunct/>
        <w:topLinePunct w:val="0"/>
        <w:autoSpaceDE/>
        <w:autoSpaceDN/>
        <w:bidi w:val="0"/>
        <w:adjustRightInd/>
        <w:snapToGrid/>
        <w:spacing w:line="360" w:lineRule="atLeast"/>
        <w:jc w:val="center"/>
        <w:textAlignment w:val="auto"/>
        <w:rPr>
          <w:rFonts w:ascii="仿宋" w:hAnsi="仿宋" w:eastAsia="仿宋" w:cs="仿宋"/>
          <w:b/>
          <w:color w:val="auto"/>
          <w:sz w:val="52"/>
          <w:szCs w:val="52"/>
        </w:rPr>
      </w:pPr>
    </w:p>
    <w:p>
      <w:pPr>
        <w:keepNext w:val="0"/>
        <w:keepLines w:val="0"/>
        <w:pageBreakBefore w:val="0"/>
        <w:kinsoku/>
        <w:wordWrap/>
        <w:overflowPunct/>
        <w:topLinePunct w:val="0"/>
        <w:autoSpaceDE/>
        <w:autoSpaceDN/>
        <w:bidi w:val="0"/>
        <w:adjustRightInd/>
        <w:snapToGrid/>
        <w:spacing w:line="360" w:lineRule="atLeast"/>
        <w:jc w:val="center"/>
        <w:textAlignment w:val="auto"/>
        <w:rPr>
          <w:rFonts w:ascii="仿宋" w:hAnsi="仿宋" w:eastAsia="仿宋" w:cs="仿宋"/>
          <w:b/>
          <w:color w:val="auto"/>
          <w:sz w:val="72"/>
          <w:szCs w:val="72"/>
        </w:rPr>
      </w:pPr>
      <w:r>
        <w:rPr>
          <w:rFonts w:hint="eastAsia" w:ascii="仿宋" w:hAnsi="仿宋" w:eastAsia="仿宋" w:cs="仿宋"/>
          <w:b/>
          <w:color w:val="auto"/>
          <w:sz w:val="72"/>
          <w:szCs w:val="72"/>
        </w:rPr>
        <w:t>竞争性谈判文件</w:t>
      </w:r>
    </w:p>
    <w:p>
      <w:pPr>
        <w:pStyle w:val="17"/>
        <w:keepNext w:val="0"/>
        <w:keepLines w:val="0"/>
        <w:pageBreakBefore w:val="0"/>
        <w:widowControl/>
        <w:kinsoku/>
        <w:wordWrap/>
        <w:overflowPunct/>
        <w:topLinePunct w:val="0"/>
        <w:autoSpaceDE/>
        <w:autoSpaceDN/>
        <w:bidi w:val="0"/>
        <w:adjustRightInd/>
        <w:snapToGrid/>
        <w:spacing w:before="75" w:beforeAutospacing="0" w:after="75" w:afterAutospacing="0" w:line="360" w:lineRule="atLeast"/>
        <w:textAlignment w:val="auto"/>
        <w:rPr>
          <w:rFonts w:ascii="仿宋" w:hAnsi="仿宋" w:eastAsia="仿宋" w:cs="仿宋"/>
          <w:color w:val="auto"/>
          <w:sz w:val="30"/>
          <w:szCs w:val="30"/>
        </w:rPr>
      </w:pPr>
    </w:p>
    <w:p>
      <w:pPr>
        <w:pStyle w:val="19"/>
        <w:keepNext w:val="0"/>
        <w:keepLines w:val="0"/>
        <w:pageBreakBefore w:val="0"/>
        <w:kinsoku/>
        <w:wordWrap/>
        <w:overflowPunct/>
        <w:topLinePunct w:val="0"/>
        <w:autoSpaceDE/>
        <w:autoSpaceDN/>
        <w:bidi w:val="0"/>
        <w:adjustRightInd/>
        <w:snapToGrid/>
        <w:spacing w:line="360" w:lineRule="atLeast"/>
        <w:ind w:firstLine="240"/>
        <w:textAlignment w:val="auto"/>
        <w:rPr>
          <w:color w:val="auto"/>
        </w:rPr>
      </w:pPr>
    </w:p>
    <w:p>
      <w:pPr>
        <w:pStyle w:val="19"/>
        <w:keepNext w:val="0"/>
        <w:keepLines w:val="0"/>
        <w:pageBreakBefore w:val="0"/>
        <w:kinsoku/>
        <w:wordWrap/>
        <w:overflowPunct/>
        <w:topLinePunct w:val="0"/>
        <w:autoSpaceDE/>
        <w:autoSpaceDN/>
        <w:bidi w:val="0"/>
        <w:adjustRightInd/>
        <w:snapToGrid/>
        <w:spacing w:line="360" w:lineRule="atLeast"/>
        <w:ind w:firstLine="240"/>
        <w:textAlignment w:val="auto"/>
        <w:rPr>
          <w:color w:val="auto"/>
        </w:rPr>
      </w:pPr>
    </w:p>
    <w:p>
      <w:pPr>
        <w:pStyle w:val="19"/>
        <w:keepNext w:val="0"/>
        <w:keepLines w:val="0"/>
        <w:pageBreakBefore w:val="0"/>
        <w:kinsoku/>
        <w:wordWrap/>
        <w:overflowPunct/>
        <w:topLinePunct w:val="0"/>
        <w:autoSpaceDE/>
        <w:autoSpaceDN/>
        <w:bidi w:val="0"/>
        <w:adjustRightInd/>
        <w:snapToGrid/>
        <w:spacing w:line="360" w:lineRule="atLeast"/>
        <w:ind w:firstLine="240"/>
        <w:textAlignment w:val="auto"/>
        <w:rPr>
          <w:color w:val="auto"/>
        </w:rPr>
      </w:pPr>
    </w:p>
    <w:p>
      <w:pPr>
        <w:pStyle w:val="19"/>
        <w:keepNext w:val="0"/>
        <w:keepLines w:val="0"/>
        <w:pageBreakBefore w:val="0"/>
        <w:kinsoku/>
        <w:wordWrap/>
        <w:overflowPunct/>
        <w:topLinePunct w:val="0"/>
        <w:autoSpaceDE/>
        <w:autoSpaceDN/>
        <w:bidi w:val="0"/>
        <w:adjustRightInd/>
        <w:snapToGrid/>
        <w:spacing w:line="360" w:lineRule="atLeast"/>
        <w:ind w:firstLine="240"/>
        <w:textAlignment w:val="auto"/>
        <w:rPr>
          <w:color w:val="auto"/>
        </w:rPr>
      </w:pPr>
    </w:p>
    <w:p>
      <w:pPr>
        <w:pStyle w:val="19"/>
        <w:keepNext w:val="0"/>
        <w:keepLines w:val="0"/>
        <w:pageBreakBefore w:val="0"/>
        <w:kinsoku/>
        <w:wordWrap/>
        <w:overflowPunct/>
        <w:topLinePunct w:val="0"/>
        <w:autoSpaceDE/>
        <w:autoSpaceDN/>
        <w:bidi w:val="0"/>
        <w:adjustRightInd/>
        <w:snapToGrid/>
        <w:spacing w:line="360" w:lineRule="atLeast"/>
        <w:ind w:firstLine="240"/>
        <w:textAlignment w:val="auto"/>
        <w:rPr>
          <w:color w:val="auto"/>
        </w:rPr>
      </w:pPr>
    </w:p>
    <w:p>
      <w:pPr>
        <w:keepNext w:val="0"/>
        <w:keepLines w:val="0"/>
        <w:pageBreakBefore w:val="0"/>
        <w:kinsoku/>
        <w:wordWrap/>
        <w:overflowPunct/>
        <w:topLinePunct w:val="0"/>
        <w:autoSpaceDE/>
        <w:autoSpaceDN/>
        <w:bidi w:val="0"/>
        <w:adjustRightInd/>
        <w:snapToGrid/>
        <w:spacing w:line="360" w:lineRule="atLeast"/>
        <w:ind w:left="2306" w:leftChars="429" w:hanging="1405" w:hangingChars="500"/>
        <w:jc w:val="both"/>
        <w:textAlignment w:val="auto"/>
        <w:rPr>
          <w:rFonts w:hint="eastAsia" w:ascii="仿宋" w:hAnsi="仿宋" w:eastAsia="仿宋" w:cs="仿宋"/>
          <w:b/>
          <w:color w:val="auto"/>
          <w:sz w:val="28"/>
          <w:szCs w:val="28"/>
          <w:lang w:eastAsia="zh-CN"/>
        </w:rPr>
      </w:pPr>
      <w:r>
        <w:rPr>
          <w:rFonts w:hint="eastAsia" w:ascii="仿宋" w:hAnsi="仿宋" w:eastAsia="仿宋" w:cs="仿宋"/>
          <w:b/>
          <w:color w:val="auto"/>
          <w:sz w:val="28"/>
          <w:szCs w:val="28"/>
        </w:rPr>
        <w:t>项目名称：</w:t>
      </w:r>
      <w:r>
        <w:rPr>
          <w:rFonts w:hint="eastAsia" w:ascii="仿宋" w:hAnsi="仿宋" w:eastAsia="仿宋" w:cs="仿宋"/>
          <w:b/>
          <w:color w:val="auto"/>
          <w:sz w:val="28"/>
          <w:szCs w:val="28"/>
          <w:lang w:eastAsia="zh-CN"/>
        </w:rPr>
        <w:t>主校区学生公寓走廊及卫生间吊顶板采购</w:t>
      </w:r>
    </w:p>
    <w:p>
      <w:pPr>
        <w:keepNext w:val="0"/>
        <w:keepLines w:val="0"/>
        <w:pageBreakBefore w:val="0"/>
        <w:kinsoku/>
        <w:wordWrap/>
        <w:overflowPunct/>
        <w:topLinePunct w:val="0"/>
        <w:autoSpaceDE/>
        <w:autoSpaceDN/>
        <w:bidi w:val="0"/>
        <w:adjustRightInd/>
        <w:snapToGrid/>
        <w:spacing w:line="360" w:lineRule="atLeast"/>
        <w:ind w:firstLine="843" w:firstLineChars="300"/>
        <w:jc w:val="both"/>
        <w:textAlignment w:val="auto"/>
        <w:rPr>
          <w:rFonts w:hint="default" w:ascii="仿宋" w:hAnsi="仿宋" w:eastAsia="仿宋" w:cs="仿宋"/>
          <w:b/>
          <w:color w:val="auto"/>
          <w:sz w:val="28"/>
          <w:szCs w:val="28"/>
          <w:lang w:val="en-US" w:eastAsia="zh-CN"/>
        </w:rPr>
      </w:pPr>
      <w:r>
        <w:rPr>
          <w:rFonts w:hint="eastAsia" w:ascii="仿宋" w:hAnsi="仿宋" w:eastAsia="仿宋" w:cs="仿宋"/>
          <w:b/>
          <w:color w:val="auto"/>
          <w:sz w:val="28"/>
          <w:szCs w:val="28"/>
        </w:rPr>
        <w:t>项目编号：</w:t>
      </w:r>
      <w:r>
        <w:rPr>
          <w:rFonts w:hint="eastAsia" w:ascii="仿宋" w:hAnsi="仿宋" w:eastAsia="仿宋" w:cs="仿宋"/>
          <w:b/>
          <w:color w:val="auto"/>
          <w:sz w:val="28"/>
          <w:szCs w:val="28"/>
          <w:lang w:val="en-US" w:eastAsia="zh-CN"/>
        </w:rPr>
        <w:t>WHZCTP2023011</w:t>
      </w:r>
    </w:p>
    <w:p>
      <w:pPr>
        <w:keepNext w:val="0"/>
        <w:keepLines w:val="0"/>
        <w:pageBreakBefore w:val="0"/>
        <w:kinsoku/>
        <w:wordWrap/>
        <w:overflowPunct/>
        <w:topLinePunct w:val="0"/>
        <w:autoSpaceDE/>
        <w:autoSpaceDN/>
        <w:bidi w:val="0"/>
        <w:adjustRightInd/>
        <w:snapToGrid/>
        <w:spacing w:line="360" w:lineRule="atLeast"/>
        <w:ind w:firstLine="843" w:firstLineChars="300"/>
        <w:jc w:val="both"/>
        <w:textAlignment w:val="auto"/>
        <w:rPr>
          <w:rFonts w:hint="eastAsia" w:ascii="仿宋" w:hAnsi="仿宋" w:eastAsia="仿宋" w:cs="仿宋"/>
          <w:color w:val="auto"/>
          <w:sz w:val="30"/>
          <w:szCs w:val="30"/>
          <w:lang w:eastAsia="zh-CN"/>
        </w:rPr>
      </w:pPr>
      <w:r>
        <w:rPr>
          <w:rFonts w:hint="eastAsia" w:ascii="仿宋" w:hAnsi="仿宋" w:eastAsia="仿宋" w:cs="仿宋"/>
          <w:b/>
          <w:color w:val="auto"/>
          <w:sz w:val="28"/>
          <w:szCs w:val="28"/>
        </w:rPr>
        <w:t>采购人：</w:t>
      </w:r>
      <w:r>
        <w:rPr>
          <w:rFonts w:hint="eastAsia" w:ascii="仿宋" w:hAnsi="仿宋" w:eastAsia="仿宋" w:cs="仿宋"/>
          <w:b/>
          <w:color w:val="auto"/>
          <w:sz w:val="28"/>
          <w:szCs w:val="28"/>
          <w:lang w:eastAsia="zh-CN"/>
        </w:rPr>
        <w:t>泉州师范学院</w:t>
      </w:r>
    </w:p>
    <w:p>
      <w:pPr>
        <w:keepNext w:val="0"/>
        <w:keepLines w:val="0"/>
        <w:pageBreakBefore w:val="0"/>
        <w:widowControl/>
        <w:kinsoku/>
        <w:wordWrap/>
        <w:overflowPunct/>
        <w:topLinePunct w:val="0"/>
        <w:autoSpaceDE/>
        <w:autoSpaceDN/>
        <w:bidi w:val="0"/>
        <w:adjustRightInd/>
        <w:snapToGrid/>
        <w:spacing w:line="360" w:lineRule="atLeast"/>
        <w:jc w:val="left"/>
        <w:textAlignment w:val="auto"/>
        <w:rPr>
          <w:rFonts w:ascii="仿宋" w:hAnsi="仿宋" w:eastAsia="仿宋" w:cs="仿宋"/>
          <w:color w:val="auto"/>
          <w:sz w:val="30"/>
          <w:szCs w:val="30"/>
        </w:rPr>
      </w:pPr>
    </w:p>
    <w:p>
      <w:pPr>
        <w:pStyle w:val="19"/>
        <w:rPr>
          <w:rFonts w:ascii="仿宋" w:hAnsi="仿宋" w:eastAsia="仿宋" w:cs="仿宋"/>
          <w:color w:val="auto"/>
          <w:sz w:val="30"/>
          <w:szCs w:val="30"/>
        </w:rPr>
      </w:pPr>
    </w:p>
    <w:p>
      <w:pPr>
        <w:pStyle w:val="19"/>
        <w:ind w:left="0" w:leftChars="0" w:firstLine="0" w:firstLineChars="0"/>
        <w:rPr>
          <w:rFonts w:ascii="仿宋" w:hAnsi="仿宋" w:eastAsia="仿宋" w:cs="仿宋"/>
          <w:color w:val="auto"/>
          <w:sz w:val="30"/>
          <w:szCs w:val="30"/>
        </w:rPr>
      </w:pPr>
    </w:p>
    <w:p>
      <w:pPr>
        <w:pStyle w:val="19"/>
        <w:keepNext w:val="0"/>
        <w:keepLines w:val="0"/>
        <w:pageBreakBefore w:val="0"/>
        <w:kinsoku/>
        <w:wordWrap/>
        <w:overflowPunct/>
        <w:topLinePunct w:val="0"/>
        <w:autoSpaceDE/>
        <w:autoSpaceDN/>
        <w:bidi w:val="0"/>
        <w:adjustRightInd/>
        <w:snapToGrid/>
        <w:spacing w:line="360" w:lineRule="atLeast"/>
        <w:textAlignment w:val="auto"/>
        <w:rPr>
          <w:color w:val="auto"/>
        </w:rPr>
      </w:pPr>
    </w:p>
    <w:p>
      <w:pPr>
        <w:pStyle w:val="19"/>
        <w:keepNext w:val="0"/>
        <w:keepLines w:val="0"/>
        <w:pageBreakBefore w:val="0"/>
        <w:kinsoku/>
        <w:wordWrap/>
        <w:overflowPunct/>
        <w:topLinePunct w:val="0"/>
        <w:autoSpaceDE/>
        <w:autoSpaceDN/>
        <w:bidi w:val="0"/>
        <w:adjustRightInd/>
        <w:snapToGrid/>
        <w:spacing w:line="360" w:lineRule="atLeast"/>
        <w:textAlignment w:val="auto"/>
        <w:rPr>
          <w:color w:val="auto"/>
        </w:rPr>
      </w:pPr>
    </w:p>
    <w:p>
      <w:pPr>
        <w:keepNext w:val="0"/>
        <w:keepLines w:val="0"/>
        <w:pageBreakBefore w:val="0"/>
        <w:widowControl/>
        <w:kinsoku/>
        <w:wordWrap/>
        <w:overflowPunct/>
        <w:topLinePunct w:val="0"/>
        <w:autoSpaceDE/>
        <w:autoSpaceDN/>
        <w:bidi w:val="0"/>
        <w:adjustRightInd/>
        <w:snapToGrid/>
        <w:spacing w:line="360" w:lineRule="atLeast"/>
        <w:jc w:val="center"/>
        <w:textAlignment w:val="auto"/>
        <w:rPr>
          <w:rFonts w:ascii="仿宋" w:hAnsi="仿宋" w:eastAsia="仿宋" w:cs="仿宋"/>
          <w:b/>
          <w:bCs/>
          <w:color w:val="auto"/>
          <w:sz w:val="28"/>
          <w:szCs w:val="28"/>
          <w:u w:val="none"/>
        </w:rPr>
      </w:pPr>
      <w:r>
        <w:rPr>
          <w:rFonts w:hint="eastAsia" w:ascii="仿宋" w:hAnsi="仿宋" w:eastAsia="仿宋" w:cs="仿宋"/>
          <w:b/>
          <w:bCs/>
          <w:color w:val="auto"/>
          <w:sz w:val="28"/>
          <w:szCs w:val="28"/>
          <w:u w:val="none"/>
        </w:rPr>
        <w:t>福建省维恒项目管理有限公司</w:t>
      </w:r>
    </w:p>
    <w:p>
      <w:pPr>
        <w:keepNext w:val="0"/>
        <w:keepLines w:val="0"/>
        <w:pageBreakBefore w:val="0"/>
        <w:widowControl/>
        <w:kinsoku/>
        <w:wordWrap/>
        <w:overflowPunct/>
        <w:topLinePunct w:val="0"/>
        <w:autoSpaceDE/>
        <w:autoSpaceDN/>
        <w:bidi w:val="0"/>
        <w:adjustRightInd/>
        <w:snapToGrid/>
        <w:spacing w:line="360" w:lineRule="atLeast"/>
        <w:jc w:val="center"/>
        <w:textAlignment w:val="auto"/>
        <w:rPr>
          <w:rStyle w:val="23"/>
          <w:rFonts w:hint="eastAsia" w:ascii="仿宋" w:hAnsi="仿宋" w:eastAsia="仿宋" w:cs="仿宋"/>
          <w:bCs/>
          <w:color w:val="auto"/>
          <w:sz w:val="28"/>
          <w:szCs w:val="28"/>
        </w:rPr>
      </w:pPr>
      <w:r>
        <w:rPr>
          <w:rStyle w:val="23"/>
          <w:rFonts w:hint="eastAsia" w:ascii="仿宋" w:hAnsi="仿宋" w:eastAsia="仿宋" w:cs="仿宋"/>
          <w:bCs/>
          <w:color w:val="auto"/>
          <w:sz w:val="28"/>
          <w:szCs w:val="28"/>
          <w:u w:val="none"/>
        </w:rPr>
        <w:t>202</w:t>
      </w:r>
      <w:r>
        <w:rPr>
          <w:rStyle w:val="23"/>
          <w:rFonts w:hint="eastAsia" w:ascii="仿宋" w:hAnsi="仿宋" w:eastAsia="仿宋" w:cs="仿宋"/>
          <w:bCs/>
          <w:color w:val="auto"/>
          <w:sz w:val="28"/>
          <w:szCs w:val="28"/>
          <w:u w:val="none"/>
          <w:lang w:val="en-US" w:eastAsia="zh-CN"/>
        </w:rPr>
        <w:t>3</w:t>
      </w:r>
      <w:r>
        <w:rPr>
          <w:rStyle w:val="23"/>
          <w:rFonts w:hint="eastAsia" w:ascii="仿宋" w:hAnsi="仿宋" w:eastAsia="仿宋" w:cs="仿宋"/>
          <w:bCs/>
          <w:color w:val="auto"/>
          <w:sz w:val="28"/>
          <w:szCs w:val="28"/>
          <w:u w:val="none"/>
        </w:rPr>
        <w:t>年</w:t>
      </w:r>
      <w:r>
        <w:rPr>
          <w:rStyle w:val="23"/>
          <w:rFonts w:hint="eastAsia" w:ascii="仿宋" w:hAnsi="仿宋" w:eastAsia="仿宋" w:cs="仿宋"/>
          <w:bCs/>
          <w:color w:val="auto"/>
          <w:sz w:val="28"/>
          <w:szCs w:val="28"/>
          <w:u w:val="none"/>
          <w:lang w:val="en-US" w:eastAsia="zh-CN"/>
        </w:rPr>
        <w:t>07</w:t>
      </w:r>
      <w:r>
        <w:rPr>
          <w:rStyle w:val="23"/>
          <w:rFonts w:hint="eastAsia" w:ascii="仿宋" w:hAnsi="仿宋" w:eastAsia="仿宋" w:cs="仿宋"/>
          <w:bCs/>
          <w:color w:val="auto"/>
          <w:sz w:val="28"/>
          <w:szCs w:val="28"/>
          <w:u w:val="none"/>
        </w:rPr>
        <w:t>月</w:t>
      </w:r>
    </w:p>
    <w:p>
      <w:pPr>
        <w:pStyle w:val="19"/>
        <w:keepNext w:val="0"/>
        <w:keepLines w:val="0"/>
        <w:pageBreakBefore w:val="0"/>
        <w:kinsoku/>
        <w:wordWrap/>
        <w:overflowPunct/>
        <w:topLinePunct w:val="0"/>
        <w:autoSpaceDE/>
        <w:autoSpaceDN/>
        <w:bidi w:val="0"/>
        <w:adjustRightInd/>
        <w:snapToGrid/>
        <w:spacing w:line="360" w:lineRule="atLeast"/>
        <w:textAlignment w:val="auto"/>
        <w:rPr>
          <w:rStyle w:val="23"/>
          <w:rFonts w:hint="eastAsia" w:ascii="仿宋" w:hAnsi="仿宋" w:eastAsia="仿宋" w:cs="仿宋"/>
          <w:bCs/>
          <w:color w:val="auto"/>
          <w:sz w:val="30"/>
          <w:szCs w:val="30"/>
        </w:rPr>
      </w:pPr>
    </w:p>
    <w:p>
      <w:pPr>
        <w:pStyle w:val="19"/>
        <w:keepNext w:val="0"/>
        <w:keepLines w:val="0"/>
        <w:pageBreakBefore w:val="0"/>
        <w:kinsoku/>
        <w:wordWrap/>
        <w:overflowPunct/>
        <w:topLinePunct w:val="0"/>
        <w:autoSpaceDE/>
        <w:autoSpaceDN/>
        <w:bidi w:val="0"/>
        <w:adjustRightInd/>
        <w:snapToGrid/>
        <w:spacing w:line="360" w:lineRule="atLeast"/>
        <w:textAlignment w:val="auto"/>
        <w:rPr>
          <w:rStyle w:val="23"/>
          <w:rFonts w:hint="eastAsia" w:ascii="仿宋" w:hAnsi="仿宋" w:eastAsia="仿宋" w:cs="仿宋"/>
          <w:bCs/>
          <w:color w:val="auto"/>
          <w:sz w:val="30"/>
          <w:szCs w:val="30"/>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sdt>
      <w:sdtPr>
        <w:rPr>
          <w:rFonts w:ascii="仿宋" w:hAnsi="仿宋" w:eastAsia="仿宋" w:cs="Times New Roman"/>
          <w:b/>
          <w:color w:val="auto"/>
          <w:kern w:val="0"/>
          <w:sz w:val="30"/>
          <w:szCs w:val="30"/>
        </w:rPr>
        <w:id w:val="147475581"/>
        <w:docPartObj>
          <w:docPartGallery w:val="Table of Contents"/>
          <w:docPartUnique/>
        </w:docPartObj>
      </w:sdtPr>
      <w:sdtEndPr>
        <w:rPr>
          <w:rFonts w:hint="eastAsia" w:ascii="仿宋" w:hAnsi="仿宋" w:eastAsia="仿宋" w:cs="仿宋"/>
          <w:b/>
          <w:bCs/>
          <w:color w:val="auto"/>
          <w:kern w:val="0"/>
          <w:sz w:val="24"/>
          <w:szCs w:val="24"/>
        </w:rPr>
      </w:sdtEndPr>
      <w:sdtContent>
        <w:p>
          <w:pPr>
            <w:keepNext w:val="0"/>
            <w:keepLines w:val="0"/>
            <w:pageBreakBefore w:val="0"/>
            <w:kinsoku/>
            <w:wordWrap/>
            <w:overflowPunct/>
            <w:topLinePunct w:val="0"/>
            <w:autoSpaceDE/>
            <w:autoSpaceDN/>
            <w:bidi w:val="0"/>
            <w:adjustRightInd/>
            <w:snapToGrid/>
            <w:spacing w:line="360" w:lineRule="atLeast"/>
            <w:jc w:val="center"/>
            <w:textAlignment w:val="auto"/>
            <w:rPr>
              <w:rFonts w:ascii="仿宋" w:hAnsi="仿宋" w:eastAsia="仿宋" w:cs="仿宋"/>
              <w:b/>
              <w:bCs/>
              <w:color w:val="auto"/>
              <w:sz w:val="30"/>
              <w:szCs w:val="30"/>
            </w:rPr>
          </w:pPr>
          <w:r>
            <w:rPr>
              <w:rFonts w:hint="eastAsia" w:ascii="仿宋" w:hAnsi="仿宋" w:eastAsia="仿宋" w:cs="仿宋"/>
              <w:b/>
              <w:bCs/>
              <w:color w:val="auto"/>
              <w:sz w:val="30"/>
              <w:szCs w:val="30"/>
            </w:rPr>
            <w:t>目录</w:t>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bCs/>
              <w:color w:val="auto"/>
              <w:sz w:val="21"/>
              <w:szCs w:val="21"/>
            </w:rPr>
          </w:pPr>
          <w:r>
            <w:rPr>
              <w:rStyle w:val="23"/>
              <w:rFonts w:hint="eastAsia" w:ascii="仿宋" w:hAnsi="仿宋" w:eastAsia="仿宋" w:cs="仿宋"/>
              <w:color w:val="auto"/>
              <w:sz w:val="21"/>
              <w:szCs w:val="21"/>
            </w:rPr>
            <w:fldChar w:fldCharType="begin"/>
          </w:r>
          <w:r>
            <w:rPr>
              <w:rStyle w:val="23"/>
              <w:rFonts w:hint="eastAsia" w:ascii="仿宋" w:hAnsi="仿宋" w:eastAsia="仿宋" w:cs="仿宋"/>
              <w:bCs/>
              <w:color w:val="auto"/>
              <w:sz w:val="21"/>
              <w:szCs w:val="21"/>
            </w:rPr>
            <w:instrText xml:space="preserve">TOC \o "1-1" \h \u </w:instrText>
          </w:r>
          <w:r>
            <w:rPr>
              <w:rStyle w:val="23"/>
              <w:rFonts w:hint="eastAsia" w:ascii="仿宋" w:hAnsi="仿宋" w:eastAsia="仿宋" w:cs="仿宋"/>
              <w:color w:val="auto"/>
              <w:sz w:val="21"/>
              <w:szCs w:val="21"/>
            </w:rPr>
            <w:fldChar w:fldCharType="separate"/>
          </w:r>
          <w:r>
            <w:rPr>
              <w:rFonts w:hint="eastAsia" w:ascii="仿宋" w:hAnsi="仿宋" w:eastAsia="仿宋" w:cs="仿宋"/>
              <w:b/>
              <w:bCs/>
              <w:color w:val="auto"/>
              <w:sz w:val="21"/>
              <w:szCs w:val="21"/>
            </w:rPr>
            <w:fldChar w:fldCharType="begin"/>
          </w:r>
          <w:r>
            <w:rPr>
              <w:rFonts w:hint="eastAsia" w:ascii="仿宋" w:hAnsi="仿宋" w:eastAsia="仿宋" w:cs="仿宋"/>
              <w:b/>
              <w:bCs/>
              <w:color w:val="auto"/>
              <w:sz w:val="21"/>
              <w:szCs w:val="21"/>
            </w:rPr>
            <w:instrText xml:space="preserve"> HYPERLINK \l _Toc1742 </w:instrText>
          </w:r>
          <w:r>
            <w:rPr>
              <w:rFonts w:hint="eastAsia" w:ascii="仿宋" w:hAnsi="仿宋" w:eastAsia="仿宋" w:cs="仿宋"/>
              <w:b/>
              <w:bCs/>
              <w:color w:val="auto"/>
              <w:sz w:val="21"/>
              <w:szCs w:val="21"/>
            </w:rPr>
            <w:fldChar w:fldCharType="separate"/>
          </w:r>
          <w:r>
            <w:rPr>
              <w:rFonts w:hint="eastAsia" w:ascii="仿宋" w:hAnsi="仿宋" w:eastAsia="仿宋" w:cs="仿宋"/>
              <w:b/>
              <w:bCs/>
              <w:color w:val="auto"/>
              <w:sz w:val="21"/>
              <w:szCs w:val="21"/>
            </w:rPr>
            <w:t>第一章</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采购公告/采购邀请书</w:t>
          </w:r>
          <w:r>
            <w:rPr>
              <w:rFonts w:hint="eastAsia" w:ascii="仿宋" w:hAnsi="仿宋" w:eastAsia="仿宋" w:cs="仿宋"/>
              <w:b/>
              <w:bCs/>
              <w:color w:val="auto"/>
              <w:sz w:val="21"/>
              <w:szCs w:val="21"/>
            </w:rPr>
            <w:tab/>
          </w:r>
          <w:r>
            <w:rPr>
              <w:rFonts w:hint="eastAsia" w:ascii="仿宋" w:hAnsi="仿宋" w:eastAsia="仿宋" w:cs="仿宋"/>
              <w:b/>
              <w:bCs/>
              <w:color w:val="auto"/>
              <w:sz w:val="21"/>
              <w:szCs w:val="21"/>
            </w:rPr>
            <w:fldChar w:fldCharType="begin"/>
          </w:r>
          <w:r>
            <w:rPr>
              <w:rFonts w:hint="eastAsia" w:ascii="仿宋" w:hAnsi="仿宋" w:eastAsia="仿宋" w:cs="仿宋"/>
              <w:b/>
              <w:bCs/>
              <w:color w:val="auto"/>
              <w:sz w:val="21"/>
              <w:szCs w:val="21"/>
            </w:rPr>
            <w:instrText xml:space="preserve"> PAGEREF _Toc1742 \h </w:instrText>
          </w:r>
          <w:r>
            <w:rPr>
              <w:rFonts w:hint="eastAsia" w:ascii="仿宋" w:hAnsi="仿宋" w:eastAsia="仿宋" w:cs="仿宋"/>
              <w:b/>
              <w:bCs/>
              <w:color w:val="auto"/>
              <w:sz w:val="21"/>
              <w:szCs w:val="21"/>
            </w:rPr>
            <w:fldChar w:fldCharType="separate"/>
          </w:r>
          <w:r>
            <w:rPr>
              <w:rFonts w:hint="eastAsia" w:ascii="仿宋" w:hAnsi="仿宋" w:eastAsia="仿宋" w:cs="仿宋"/>
              <w:b/>
              <w:bCs/>
              <w:color w:val="auto"/>
              <w:sz w:val="21"/>
              <w:szCs w:val="21"/>
            </w:rPr>
            <w:t>1</w:t>
          </w:r>
          <w:r>
            <w:rPr>
              <w:rFonts w:hint="eastAsia" w:ascii="仿宋" w:hAnsi="仿宋" w:eastAsia="仿宋" w:cs="仿宋"/>
              <w:b/>
              <w:bCs/>
              <w:color w:val="auto"/>
              <w:sz w:val="21"/>
              <w:szCs w:val="21"/>
            </w:rPr>
            <w:fldChar w:fldCharType="end"/>
          </w:r>
          <w:r>
            <w:rPr>
              <w:rFonts w:hint="eastAsia" w:ascii="仿宋" w:hAnsi="仿宋" w:eastAsia="仿宋" w:cs="仿宋"/>
              <w:b/>
              <w:bCs/>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fldChar w:fldCharType="begin"/>
          </w:r>
          <w:r>
            <w:rPr>
              <w:rFonts w:hint="eastAsia" w:ascii="仿宋" w:hAnsi="仿宋" w:eastAsia="仿宋" w:cs="仿宋"/>
              <w:b/>
              <w:bCs/>
              <w:color w:val="auto"/>
              <w:sz w:val="21"/>
              <w:szCs w:val="21"/>
            </w:rPr>
            <w:instrText xml:space="preserve"> HYPERLINK \l _Toc19603 </w:instrText>
          </w:r>
          <w:r>
            <w:rPr>
              <w:rFonts w:hint="eastAsia" w:ascii="仿宋" w:hAnsi="仿宋" w:eastAsia="仿宋" w:cs="仿宋"/>
              <w:b/>
              <w:bCs/>
              <w:color w:val="auto"/>
              <w:sz w:val="21"/>
              <w:szCs w:val="21"/>
            </w:rPr>
            <w:fldChar w:fldCharType="separate"/>
          </w:r>
          <w:r>
            <w:rPr>
              <w:rFonts w:hint="eastAsia" w:ascii="仿宋" w:hAnsi="仿宋" w:eastAsia="仿宋" w:cs="仿宋"/>
              <w:b/>
              <w:bCs/>
              <w:color w:val="auto"/>
              <w:sz w:val="21"/>
              <w:szCs w:val="21"/>
            </w:rPr>
            <w:t>第二章</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竞争性谈判须知</w:t>
          </w:r>
          <w:r>
            <w:rPr>
              <w:rFonts w:hint="eastAsia" w:ascii="仿宋" w:hAnsi="仿宋" w:eastAsia="仿宋" w:cs="仿宋"/>
              <w:b/>
              <w:bCs/>
              <w:color w:val="auto"/>
              <w:sz w:val="21"/>
              <w:szCs w:val="21"/>
            </w:rPr>
            <w:tab/>
          </w:r>
          <w:r>
            <w:rPr>
              <w:rFonts w:hint="eastAsia" w:ascii="仿宋" w:hAnsi="仿宋" w:eastAsia="仿宋" w:cs="仿宋"/>
              <w:b/>
              <w:bCs/>
              <w:color w:val="auto"/>
              <w:sz w:val="21"/>
              <w:szCs w:val="21"/>
            </w:rPr>
            <w:fldChar w:fldCharType="begin"/>
          </w:r>
          <w:r>
            <w:rPr>
              <w:rFonts w:hint="eastAsia" w:ascii="仿宋" w:hAnsi="仿宋" w:eastAsia="仿宋" w:cs="仿宋"/>
              <w:b/>
              <w:bCs/>
              <w:color w:val="auto"/>
              <w:sz w:val="21"/>
              <w:szCs w:val="21"/>
            </w:rPr>
            <w:instrText xml:space="preserve"> PAGEREF _Toc19603 \h </w:instrText>
          </w:r>
          <w:r>
            <w:rPr>
              <w:rFonts w:hint="eastAsia" w:ascii="仿宋" w:hAnsi="仿宋" w:eastAsia="仿宋" w:cs="仿宋"/>
              <w:b/>
              <w:bCs/>
              <w:color w:val="auto"/>
              <w:sz w:val="21"/>
              <w:szCs w:val="21"/>
            </w:rPr>
            <w:fldChar w:fldCharType="separate"/>
          </w:r>
          <w:r>
            <w:rPr>
              <w:rFonts w:hint="eastAsia" w:ascii="仿宋" w:hAnsi="仿宋" w:eastAsia="仿宋" w:cs="仿宋"/>
              <w:b/>
              <w:bCs/>
              <w:color w:val="auto"/>
              <w:sz w:val="21"/>
              <w:szCs w:val="21"/>
            </w:rPr>
            <w:t>3</w:t>
          </w:r>
          <w:r>
            <w:rPr>
              <w:rFonts w:hint="eastAsia" w:ascii="仿宋" w:hAnsi="仿宋" w:eastAsia="仿宋" w:cs="仿宋"/>
              <w:b/>
              <w:bCs/>
              <w:color w:val="auto"/>
              <w:sz w:val="21"/>
              <w:szCs w:val="21"/>
            </w:rPr>
            <w:fldChar w:fldCharType="end"/>
          </w:r>
          <w:r>
            <w:rPr>
              <w:rFonts w:hint="eastAsia" w:ascii="仿宋" w:hAnsi="仿宋" w:eastAsia="仿宋" w:cs="仿宋"/>
              <w:b/>
              <w:bCs/>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_Toc30981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第1节 竞争性谈判须知前附表</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_Toc30981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3</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bCs/>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_Toc6619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第2节  竞争性谈判须知</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_Toc6619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10</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fldChar w:fldCharType="begin"/>
          </w:r>
          <w:r>
            <w:rPr>
              <w:rFonts w:hint="eastAsia" w:ascii="仿宋" w:hAnsi="仿宋" w:eastAsia="仿宋" w:cs="仿宋"/>
              <w:b/>
              <w:bCs/>
              <w:color w:val="auto"/>
              <w:sz w:val="21"/>
              <w:szCs w:val="21"/>
            </w:rPr>
            <w:instrText xml:space="preserve"> HYPERLINK \l _Toc9861 </w:instrText>
          </w:r>
          <w:r>
            <w:rPr>
              <w:rFonts w:hint="eastAsia" w:ascii="仿宋" w:hAnsi="仿宋" w:eastAsia="仿宋" w:cs="仿宋"/>
              <w:b/>
              <w:bCs/>
              <w:color w:val="auto"/>
              <w:sz w:val="21"/>
              <w:szCs w:val="21"/>
            </w:rPr>
            <w:fldChar w:fldCharType="separate"/>
          </w:r>
          <w:r>
            <w:rPr>
              <w:rFonts w:hint="eastAsia" w:ascii="仿宋" w:hAnsi="仿宋" w:eastAsia="仿宋" w:cs="仿宋"/>
              <w:b/>
              <w:bCs/>
              <w:color w:val="auto"/>
              <w:sz w:val="21"/>
              <w:szCs w:val="21"/>
            </w:rPr>
            <w:t>第三章</w:t>
          </w:r>
          <w:r>
            <w:rPr>
              <w:rFonts w:hint="eastAsia" w:ascii="仿宋" w:hAnsi="仿宋" w:eastAsia="仿宋" w:cs="仿宋"/>
              <w:b/>
              <w:bCs/>
              <w:color w:val="auto"/>
              <w:sz w:val="21"/>
              <w:szCs w:val="21"/>
              <w:lang w:val="en-US" w:eastAsia="zh-CN"/>
            </w:rPr>
            <w:t xml:space="preserve"> </w:t>
          </w:r>
          <w:r>
            <w:rPr>
              <w:rFonts w:hint="eastAsia" w:ascii="仿宋" w:hAnsi="仿宋" w:eastAsia="仿宋" w:cs="仿宋"/>
              <w:b/>
              <w:bCs/>
              <w:color w:val="auto"/>
              <w:sz w:val="21"/>
              <w:szCs w:val="21"/>
            </w:rPr>
            <w:t>采购内容及要求</w:t>
          </w:r>
          <w:r>
            <w:rPr>
              <w:rFonts w:hint="eastAsia" w:ascii="仿宋" w:hAnsi="仿宋" w:eastAsia="仿宋" w:cs="仿宋"/>
              <w:b/>
              <w:bCs/>
              <w:color w:val="auto"/>
              <w:sz w:val="21"/>
              <w:szCs w:val="21"/>
            </w:rPr>
            <w:tab/>
          </w:r>
          <w:r>
            <w:rPr>
              <w:rFonts w:hint="eastAsia" w:ascii="仿宋" w:hAnsi="仿宋" w:eastAsia="仿宋" w:cs="仿宋"/>
              <w:b/>
              <w:bCs/>
              <w:color w:val="auto"/>
              <w:sz w:val="21"/>
              <w:szCs w:val="21"/>
            </w:rPr>
            <w:fldChar w:fldCharType="begin"/>
          </w:r>
          <w:r>
            <w:rPr>
              <w:rFonts w:hint="eastAsia" w:ascii="仿宋" w:hAnsi="仿宋" w:eastAsia="仿宋" w:cs="仿宋"/>
              <w:b/>
              <w:bCs/>
              <w:color w:val="auto"/>
              <w:sz w:val="21"/>
              <w:szCs w:val="21"/>
            </w:rPr>
            <w:instrText xml:space="preserve"> PAGEREF _Toc9861 \h </w:instrText>
          </w:r>
          <w:r>
            <w:rPr>
              <w:rFonts w:hint="eastAsia" w:ascii="仿宋" w:hAnsi="仿宋" w:eastAsia="仿宋" w:cs="仿宋"/>
              <w:b/>
              <w:bCs/>
              <w:color w:val="auto"/>
              <w:sz w:val="21"/>
              <w:szCs w:val="21"/>
            </w:rPr>
            <w:fldChar w:fldCharType="separate"/>
          </w:r>
          <w:r>
            <w:rPr>
              <w:rFonts w:hint="eastAsia" w:ascii="仿宋" w:hAnsi="仿宋" w:eastAsia="仿宋" w:cs="仿宋"/>
              <w:b/>
              <w:bCs/>
              <w:color w:val="auto"/>
              <w:sz w:val="21"/>
              <w:szCs w:val="21"/>
            </w:rPr>
            <w:t>23</w:t>
          </w:r>
          <w:r>
            <w:rPr>
              <w:rFonts w:hint="eastAsia" w:ascii="仿宋" w:hAnsi="仿宋" w:eastAsia="仿宋" w:cs="仿宋"/>
              <w:b/>
              <w:bCs/>
              <w:color w:val="auto"/>
              <w:sz w:val="21"/>
              <w:szCs w:val="21"/>
            </w:rPr>
            <w:fldChar w:fldCharType="end"/>
          </w:r>
          <w:r>
            <w:rPr>
              <w:rFonts w:hint="eastAsia" w:ascii="仿宋" w:hAnsi="仿宋" w:eastAsia="仿宋" w:cs="仿宋"/>
              <w:b/>
              <w:bCs/>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fldChar w:fldCharType="begin"/>
          </w:r>
          <w:r>
            <w:rPr>
              <w:rFonts w:hint="eastAsia" w:ascii="仿宋" w:hAnsi="仿宋" w:eastAsia="仿宋" w:cs="仿宋"/>
              <w:b/>
              <w:bCs/>
              <w:color w:val="auto"/>
              <w:sz w:val="21"/>
              <w:szCs w:val="21"/>
            </w:rPr>
            <w:instrText xml:space="preserve"> HYPERLINK \l _Toc19961 </w:instrText>
          </w:r>
          <w:r>
            <w:rPr>
              <w:rFonts w:hint="eastAsia" w:ascii="仿宋" w:hAnsi="仿宋" w:eastAsia="仿宋" w:cs="仿宋"/>
              <w:b/>
              <w:bCs/>
              <w:color w:val="auto"/>
              <w:sz w:val="21"/>
              <w:szCs w:val="21"/>
            </w:rPr>
            <w:fldChar w:fldCharType="separate"/>
          </w:r>
          <w:r>
            <w:rPr>
              <w:rFonts w:hint="eastAsia" w:ascii="仿宋" w:hAnsi="仿宋" w:eastAsia="仿宋" w:cs="仿宋"/>
              <w:b/>
              <w:bCs/>
              <w:color w:val="auto"/>
              <w:kern w:val="44"/>
              <w:sz w:val="21"/>
              <w:szCs w:val="21"/>
              <w:lang w:val="en-US" w:eastAsia="zh-CN" w:bidi="ar-SA"/>
            </w:rPr>
            <w:t>第四章 合同主要条款及格式</w:t>
          </w:r>
          <w:r>
            <w:rPr>
              <w:rFonts w:hint="eastAsia" w:ascii="仿宋" w:hAnsi="仿宋" w:eastAsia="仿宋" w:cs="仿宋"/>
              <w:b/>
              <w:bCs/>
              <w:color w:val="auto"/>
              <w:sz w:val="21"/>
              <w:szCs w:val="21"/>
            </w:rPr>
            <w:tab/>
          </w:r>
          <w:r>
            <w:rPr>
              <w:rFonts w:hint="eastAsia" w:ascii="仿宋" w:hAnsi="仿宋" w:eastAsia="仿宋" w:cs="仿宋"/>
              <w:b/>
              <w:bCs/>
              <w:color w:val="auto"/>
              <w:sz w:val="21"/>
              <w:szCs w:val="21"/>
            </w:rPr>
            <w:fldChar w:fldCharType="begin"/>
          </w:r>
          <w:r>
            <w:rPr>
              <w:rFonts w:hint="eastAsia" w:ascii="仿宋" w:hAnsi="仿宋" w:eastAsia="仿宋" w:cs="仿宋"/>
              <w:b/>
              <w:bCs/>
              <w:color w:val="auto"/>
              <w:sz w:val="21"/>
              <w:szCs w:val="21"/>
            </w:rPr>
            <w:instrText xml:space="preserve"> PAGEREF _Toc19961 \h </w:instrText>
          </w:r>
          <w:r>
            <w:rPr>
              <w:rFonts w:hint="eastAsia" w:ascii="仿宋" w:hAnsi="仿宋" w:eastAsia="仿宋" w:cs="仿宋"/>
              <w:b/>
              <w:bCs/>
              <w:color w:val="auto"/>
              <w:sz w:val="21"/>
              <w:szCs w:val="21"/>
            </w:rPr>
            <w:fldChar w:fldCharType="separate"/>
          </w:r>
          <w:r>
            <w:rPr>
              <w:rFonts w:hint="eastAsia" w:ascii="仿宋" w:hAnsi="仿宋" w:eastAsia="仿宋" w:cs="仿宋"/>
              <w:b/>
              <w:bCs/>
              <w:color w:val="auto"/>
              <w:sz w:val="21"/>
              <w:szCs w:val="21"/>
            </w:rPr>
            <w:t>28</w:t>
          </w:r>
          <w:r>
            <w:rPr>
              <w:rFonts w:hint="eastAsia" w:ascii="仿宋" w:hAnsi="仿宋" w:eastAsia="仿宋" w:cs="仿宋"/>
              <w:b/>
              <w:bCs/>
              <w:color w:val="auto"/>
              <w:sz w:val="21"/>
              <w:szCs w:val="21"/>
            </w:rPr>
            <w:fldChar w:fldCharType="end"/>
          </w:r>
          <w:r>
            <w:rPr>
              <w:rFonts w:hint="eastAsia" w:ascii="仿宋" w:hAnsi="仿宋" w:eastAsia="仿宋" w:cs="仿宋"/>
              <w:b/>
              <w:bCs/>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bCs/>
              <w:color w:val="auto"/>
              <w:sz w:val="21"/>
              <w:szCs w:val="21"/>
            </w:rPr>
          </w:pPr>
          <w:r>
            <w:rPr>
              <w:rFonts w:hint="eastAsia" w:ascii="仿宋" w:hAnsi="仿宋" w:eastAsia="仿宋" w:cs="仿宋"/>
              <w:b/>
              <w:bCs/>
              <w:color w:val="auto"/>
              <w:sz w:val="21"/>
              <w:szCs w:val="21"/>
            </w:rPr>
            <w:fldChar w:fldCharType="begin"/>
          </w:r>
          <w:r>
            <w:rPr>
              <w:rFonts w:hint="eastAsia" w:ascii="仿宋" w:hAnsi="仿宋" w:eastAsia="仿宋" w:cs="仿宋"/>
              <w:b/>
              <w:bCs/>
              <w:color w:val="auto"/>
              <w:sz w:val="21"/>
              <w:szCs w:val="21"/>
            </w:rPr>
            <w:instrText xml:space="preserve"> HYPERLINK \l _Toc24181 </w:instrText>
          </w:r>
          <w:r>
            <w:rPr>
              <w:rFonts w:hint="eastAsia" w:ascii="仿宋" w:hAnsi="仿宋" w:eastAsia="仿宋" w:cs="仿宋"/>
              <w:b/>
              <w:bCs/>
              <w:color w:val="auto"/>
              <w:sz w:val="21"/>
              <w:szCs w:val="21"/>
            </w:rPr>
            <w:fldChar w:fldCharType="separate"/>
          </w:r>
          <w:r>
            <w:rPr>
              <w:rFonts w:hint="eastAsia" w:ascii="仿宋" w:hAnsi="仿宋" w:eastAsia="仿宋" w:cs="仿宋"/>
              <w:b/>
              <w:bCs/>
              <w:color w:val="auto"/>
              <w:kern w:val="44"/>
              <w:sz w:val="21"/>
              <w:szCs w:val="21"/>
              <w:lang w:val="en-US" w:eastAsia="zh-CN" w:bidi="ar-SA"/>
            </w:rPr>
            <w:t>第五章  首次响应文件格式</w:t>
          </w:r>
          <w:r>
            <w:rPr>
              <w:rFonts w:hint="eastAsia" w:ascii="仿宋" w:hAnsi="仿宋" w:eastAsia="仿宋" w:cs="仿宋"/>
              <w:b/>
              <w:bCs/>
              <w:color w:val="auto"/>
              <w:sz w:val="21"/>
              <w:szCs w:val="21"/>
            </w:rPr>
            <w:tab/>
          </w:r>
          <w:r>
            <w:rPr>
              <w:rFonts w:hint="eastAsia" w:ascii="仿宋" w:hAnsi="仿宋" w:eastAsia="仿宋" w:cs="仿宋"/>
              <w:b/>
              <w:bCs/>
              <w:color w:val="auto"/>
              <w:sz w:val="21"/>
              <w:szCs w:val="21"/>
            </w:rPr>
            <w:fldChar w:fldCharType="begin"/>
          </w:r>
          <w:r>
            <w:rPr>
              <w:rFonts w:hint="eastAsia" w:ascii="仿宋" w:hAnsi="仿宋" w:eastAsia="仿宋" w:cs="仿宋"/>
              <w:b/>
              <w:bCs/>
              <w:color w:val="auto"/>
              <w:sz w:val="21"/>
              <w:szCs w:val="21"/>
            </w:rPr>
            <w:instrText xml:space="preserve"> PAGEREF _Toc24181 \h </w:instrText>
          </w:r>
          <w:r>
            <w:rPr>
              <w:rFonts w:hint="eastAsia" w:ascii="仿宋" w:hAnsi="仿宋" w:eastAsia="仿宋" w:cs="仿宋"/>
              <w:b/>
              <w:bCs/>
              <w:color w:val="auto"/>
              <w:sz w:val="21"/>
              <w:szCs w:val="21"/>
            </w:rPr>
            <w:fldChar w:fldCharType="separate"/>
          </w:r>
          <w:r>
            <w:rPr>
              <w:rFonts w:hint="eastAsia" w:ascii="仿宋" w:hAnsi="仿宋" w:eastAsia="仿宋" w:cs="仿宋"/>
              <w:b/>
              <w:bCs/>
              <w:color w:val="auto"/>
              <w:sz w:val="21"/>
              <w:szCs w:val="21"/>
            </w:rPr>
            <w:t>32</w:t>
          </w:r>
          <w:r>
            <w:rPr>
              <w:rFonts w:hint="eastAsia" w:ascii="仿宋" w:hAnsi="仿宋" w:eastAsia="仿宋" w:cs="仿宋"/>
              <w:b/>
              <w:bCs/>
              <w:color w:val="auto"/>
              <w:sz w:val="21"/>
              <w:szCs w:val="21"/>
            </w:rPr>
            <w:fldChar w:fldCharType="end"/>
          </w:r>
          <w:r>
            <w:rPr>
              <w:rFonts w:hint="eastAsia" w:ascii="仿宋" w:hAnsi="仿宋" w:eastAsia="仿宋" w:cs="仿宋"/>
              <w:b/>
              <w:bCs/>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_Toc2789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kern w:val="44"/>
              <w:sz w:val="21"/>
              <w:szCs w:val="21"/>
              <w:lang w:val="en-US" w:eastAsia="zh-CN" w:bidi="ar-SA"/>
            </w:rPr>
            <w:t>附件1 谈判响应声明</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_Toc2789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35</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_Toc21661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lang w:val="en-US" w:eastAsia="zh-CN"/>
            </w:rPr>
            <w:t>附件2 报价一览表</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_Toc21661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37</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_Toc4171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lang w:val="en-US" w:eastAsia="zh-CN"/>
            </w:rPr>
            <w:t>附件2-1 详细报价书</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_Toc4171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38</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_Toc16623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lang w:val="en-US" w:eastAsia="zh-CN"/>
            </w:rPr>
            <w:t>附件3  资格证明文件</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_Toc16623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39</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_Toc14697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lang w:val="en-US" w:eastAsia="zh-CN"/>
            </w:rPr>
            <w:t>附件3-1 参加竞争性谈判的声明函</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_Toc14697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39</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_Toc20604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lang w:val="en-US" w:eastAsia="zh-CN"/>
            </w:rPr>
            <w:t>附件3-2 供应商的资格声明</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_Toc20604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40</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_Toc27306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lang w:val="en-US" w:eastAsia="zh-CN"/>
            </w:rPr>
            <w:t>附件3-3 单位负责人授权书</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_Toc27306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41</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_Toc6944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lang w:val="en-US" w:eastAsia="zh-CN"/>
            </w:rPr>
            <w:t>附件3-4 营业执照等证明文件</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_Toc6944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42</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_Toc29999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lang w:val="en-US" w:eastAsia="zh-CN"/>
            </w:rPr>
            <w:t>附件3-5 财务状况报告</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_Toc29999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43</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_Toc11101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附件3-6 依法缴纳税收证明材料</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_Toc11101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45</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_Toc26546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附件3-7 依法缴纳社会保障资金证明材料</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_Toc26546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46</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_Toc21056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附件3-8 具备履行合同所必需设备和专业技术能力证明材料声明函</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_Toc21056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47</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_Toc16227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附件3-9 信用记录查询结果</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_Toc16227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48</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_Toc3911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附件3-10 联合体协议</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_Toc3911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49</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_Toc16549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附件3-11分包意向协议（若有）</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_Toc16549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51</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_Toc21664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附件3-12 参加采购活动前三年内在经营活动中没有重大违法记录书面声明</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_Toc21664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52</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_Toc16096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附件3-13 其它资格证明文件</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_Toc16096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53</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_Toc29243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附件4 谈判保证金凭证</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_Toc29243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54</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_Toc5061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lang w:val="en-US" w:eastAsia="zh-CN"/>
            </w:rPr>
            <w:t>附件5：技术、服务和商务响应表</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_Toc5061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55</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_Toc1666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lang w:val="en-US" w:eastAsia="zh-CN"/>
            </w:rPr>
            <w:t>附件5-1：技术和服务要求响应表</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_Toc1666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55</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_Toc18862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lang w:val="en-US" w:eastAsia="zh-CN"/>
            </w:rPr>
            <w:t>附件5-2 商务条件和其它事项响应表</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_Toc18862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56</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_Toc2482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lang w:val="en-US" w:eastAsia="zh-CN"/>
            </w:rPr>
            <w:t>附件6 相关技术、商务、服务响应承诺及资料</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_Toc2482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57</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_Toc23041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lang w:val="en-US" w:eastAsia="zh-CN"/>
            </w:rPr>
            <w:t>附件7 供应商提交符合政府采购政策的证明材料</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_Toc23041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58</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_Toc28974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附件7-1-1 中小企业声明函（如果有的话）</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_Toc28974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58</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_Toc10184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lang w:val="en-US" w:eastAsia="zh-CN"/>
            </w:rPr>
            <w:t>附件7-1-2 残疾人福利性单位声明函（如果有的话）</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_Toc10184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60</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_Toc4679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lang w:val="en-US" w:eastAsia="zh-CN"/>
            </w:rPr>
            <w:t>附件7-1-3 监狱企业证明材料</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_Toc4679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61</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b w:val="0"/>
              <w:bCs w:val="0"/>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_Toc24532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lang w:val="en-US" w:eastAsia="zh-CN"/>
            </w:rPr>
            <w:t>附件7-2优先类节能产品、环境标志产品价格扣除证明材料（如果有的话）</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_Toc24532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62</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320" w:lineRule="atLeast"/>
            <w:textAlignment w:val="auto"/>
            <w:rPr>
              <w:rFonts w:hint="eastAsia" w:ascii="仿宋" w:hAnsi="仿宋" w:eastAsia="仿宋" w:cs="仿宋"/>
              <w:color w:val="auto"/>
              <w:sz w:val="21"/>
              <w:szCs w:val="21"/>
            </w:rPr>
          </w:pP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HYPERLINK \l _Toc26690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lang w:val="en-US" w:eastAsia="zh-CN"/>
            </w:rPr>
            <w:t>附件8 要求作为响应文件组成部分的其他内容（若有）</w:t>
          </w:r>
          <w:r>
            <w:rPr>
              <w:rFonts w:hint="eastAsia" w:ascii="仿宋" w:hAnsi="仿宋" w:eastAsia="仿宋" w:cs="仿宋"/>
              <w:b w:val="0"/>
              <w:bCs w:val="0"/>
              <w:color w:val="auto"/>
              <w:sz w:val="21"/>
              <w:szCs w:val="21"/>
            </w:rPr>
            <w:tab/>
          </w:r>
          <w:r>
            <w:rPr>
              <w:rFonts w:hint="eastAsia" w:ascii="仿宋" w:hAnsi="仿宋" w:eastAsia="仿宋" w:cs="仿宋"/>
              <w:b w:val="0"/>
              <w:bCs w:val="0"/>
              <w:color w:val="auto"/>
              <w:sz w:val="21"/>
              <w:szCs w:val="21"/>
            </w:rPr>
            <w:fldChar w:fldCharType="begin"/>
          </w:r>
          <w:r>
            <w:rPr>
              <w:rFonts w:hint="eastAsia" w:ascii="仿宋" w:hAnsi="仿宋" w:eastAsia="仿宋" w:cs="仿宋"/>
              <w:b w:val="0"/>
              <w:bCs w:val="0"/>
              <w:color w:val="auto"/>
              <w:sz w:val="21"/>
              <w:szCs w:val="21"/>
            </w:rPr>
            <w:instrText xml:space="preserve"> PAGEREF _Toc26690 \h </w:instrText>
          </w:r>
          <w:r>
            <w:rPr>
              <w:rFonts w:hint="eastAsia" w:ascii="仿宋" w:hAnsi="仿宋" w:eastAsia="仿宋" w:cs="仿宋"/>
              <w:b w:val="0"/>
              <w:bCs w:val="0"/>
              <w:color w:val="auto"/>
              <w:sz w:val="21"/>
              <w:szCs w:val="21"/>
            </w:rPr>
            <w:fldChar w:fldCharType="separate"/>
          </w:r>
          <w:r>
            <w:rPr>
              <w:rFonts w:hint="eastAsia" w:ascii="仿宋" w:hAnsi="仿宋" w:eastAsia="仿宋" w:cs="仿宋"/>
              <w:b w:val="0"/>
              <w:bCs w:val="0"/>
              <w:color w:val="auto"/>
              <w:sz w:val="21"/>
              <w:szCs w:val="21"/>
            </w:rPr>
            <w:t>63</w:t>
          </w:r>
          <w:r>
            <w:rPr>
              <w:rFonts w:hint="eastAsia" w:ascii="仿宋" w:hAnsi="仿宋" w:eastAsia="仿宋" w:cs="仿宋"/>
              <w:b w:val="0"/>
              <w:bCs w:val="0"/>
              <w:color w:val="auto"/>
              <w:sz w:val="21"/>
              <w:szCs w:val="21"/>
            </w:rPr>
            <w:fldChar w:fldCharType="end"/>
          </w:r>
          <w:r>
            <w:rPr>
              <w:rFonts w:hint="eastAsia" w:ascii="仿宋" w:hAnsi="仿宋" w:eastAsia="仿宋" w:cs="仿宋"/>
              <w:b w:val="0"/>
              <w:bCs w:val="0"/>
              <w:color w:val="auto"/>
              <w:sz w:val="21"/>
              <w:szCs w:val="21"/>
            </w:rPr>
            <w:fldChar w:fldCharType="end"/>
          </w:r>
        </w:p>
        <w:p>
          <w:pPr>
            <w:pStyle w:val="17"/>
            <w:keepNext w:val="0"/>
            <w:keepLines w:val="0"/>
            <w:pageBreakBefore w:val="0"/>
            <w:widowControl/>
            <w:kinsoku/>
            <w:wordWrap/>
            <w:overflowPunct/>
            <w:topLinePunct w:val="0"/>
            <w:autoSpaceDE/>
            <w:autoSpaceDN/>
            <w:bidi w:val="0"/>
            <w:adjustRightInd/>
            <w:snapToGrid/>
            <w:spacing w:beforeAutospacing="0" w:afterAutospacing="0" w:line="320" w:lineRule="atLeast"/>
            <w:textAlignment w:val="auto"/>
            <w:rPr>
              <w:rFonts w:hint="eastAsia" w:ascii="仿宋" w:hAnsi="仿宋" w:eastAsia="仿宋" w:cs="仿宋"/>
              <w:bCs/>
              <w:color w:val="auto"/>
              <w:kern w:val="2"/>
              <w:sz w:val="24"/>
              <w:szCs w:val="24"/>
            </w:rPr>
          </w:pPr>
          <w:r>
            <w:rPr>
              <w:rFonts w:hint="eastAsia" w:ascii="仿宋" w:hAnsi="仿宋" w:eastAsia="仿宋" w:cs="仿宋"/>
              <w:bCs/>
              <w:color w:val="auto"/>
              <w:sz w:val="21"/>
              <w:szCs w:val="21"/>
            </w:rPr>
            <w:fldChar w:fldCharType="end"/>
          </w:r>
        </w:p>
      </w:sdtContent>
    </w:sdt>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tLeast"/>
        <w:textAlignment w:val="auto"/>
        <w:rPr>
          <w:rFonts w:hint="eastAsia" w:ascii="仿宋" w:hAnsi="仿宋" w:eastAsia="仿宋" w:cs="仿宋"/>
          <w:color w:val="auto"/>
        </w:rPr>
      </w:pPr>
      <w:r>
        <w:rPr>
          <w:rFonts w:hint="eastAsia" w:ascii="仿宋" w:hAnsi="仿宋" w:eastAsia="仿宋" w:cs="仿宋"/>
          <w:color w:val="auto"/>
        </w:rPr>
        <w:t>注：本采购文件（不含封面、目录）共</w:t>
      </w:r>
      <w:r>
        <w:rPr>
          <w:rFonts w:hint="eastAsia" w:ascii="仿宋" w:hAnsi="仿宋" w:eastAsia="仿宋" w:cs="仿宋"/>
          <w:b/>
          <w:color w:val="auto"/>
          <w:u w:val="single"/>
          <w:lang w:val="en-US" w:eastAsia="zh-CN"/>
        </w:rPr>
        <w:t>63</w:t>
      </w:r>
      <w:r>
        <w:rPr>
          <w:rFonts w:hint="eastAsia" w:ascii="仿宋" w:hAnsi="仿宋" w:eastAsia="仿宋" w:cs="仿宋"/>
          <w:color w:val="auto"/>
        </w:rPr>
        <w:t>页，请供应商领取采购文件时自行核对，如发现缺、损等情况，自领取采购文件之日起二日内向福建省维恒项目管理有限公司提出，否则，由此造成的一切后果由供应商自负。</w:t>
      </w:r>
    </w:p>
    <w:p>
      <w:pPr>
        <w:keepNext w:val="0"/>
        <w:keepLines w:val="0"/>
        <w:pageBreakBefore w:val="0"/>
        <w:kinsoku/>
        <w:wordWrap/>
        <w:overflowPunct/>
        <w:topLinePunct w:val="0"/>
        <w:autoSpaceDE/>
        <w:autoSpaceDN/>
        <w:bidi w:val="0"/>
        <w:adjustRightInd/>
        <w:snapToGrid/>
        <w:spacing w:line="360" w:lineRule="atLeast"/>
        <w:textAlignment w:val="auto"/>
        <w:rPr>
          <w:rStyle w:val="23"/>
          <w:rFonts w:ascii="仿宋" w:hAnsi="仿宋" w:eastAsia="仿宋" w:cs="仿宋"/>
          <w:bCs/>
          <w:color w:val="auto"/>
          <w:sz w:val="24"/>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pStyle w:val="17"/>
        <w:keepNext w:val="0"/>
        <w:keepLines w:val="0"/>
        <w:pageBreakBefore w:val="0"/>
        <w:widowControl/>
        <w:kinsoku/>
        <w:wordWrap/>
        <w:overflowPunct/>
        <w:topLinePunct w:val="0"/>
        <w:autoSpaceDE/>
        <w:autoSpaceDN/>
        <w:bidi w:val="0"/>
        <w:adjustRightInd/>
        <w:snapToGrid/>
        <w:spacing w:before="75" w:beforeAutospacing="0" w:after="75" w:afterAutospacing="0" w:line="360" w:lineRule="atLeast"/>
        <w:jc w:val="center"/>
        <w:textAlignment w:val="auto"/>
        <w:outlineLvl w:val="0"/>
        <w:rPr>
          <w:rStyle w:val="23"/>
          <w:rFonts w:hint="eastAsia" w:ascii="仿宋" w:hAnsi="仿宋" w:eastAsia="仿宋" w:cs="仿宋"/>
          <w:color w:val="auto"/>
          <w:sz w:val="30"/>
          <w:szCs w:val="30"/>
        </w:rPr>
      </w:pPr>
      <w:bookmarkStart w:id="0" w:name="_Toc4388"/>
      <w:bookmarkStart w:id="1" w:name="_Toc1742"/>
      <w:r>
        <w:rPr>
          <w:rStyle w:val="23"/>
          <w:rFonts w:hint="eastAsia" w:ascii="仿宋" w:hAnsi="仿宋" w:eastAsia="仿宋" w:cs="仿宋"/>
          <w:color w:val="auto"/>
          <w:sz w:val="30"/>
          <w:szCs w:val="30"/>
        </w:rPr>
        <w:t>第一章</w:t>
      </w:r>
      <w:r>
        <w:rPr>
          <w:rStyle w:val="23"/>
          <w:rFonts w:hint="eastAsia" w:ascii="仿宋" w:hAnsi="仿宋" w:eastAsia="仿宋" w:cs="仿宋"/>
          <w:color w:val="auto"/>
          <w:sz w:val="30"/>
          <w:szCs w:val="30"/>
          <w:lang w:val="en-US" w:eastAsia="zh-CN"/>
        </w:rPr>
        <w:t xml:space="preserve"> </w:t>
      </w:r>
      <w:bookmarkEnd w:id="0"/>
      <w:r>
        <w:rPr>
          <w:rStyle w:val="23"/>
          <w:rFonts w:hint="eastAsia" w:ascii="仿宋" w:hAnsi="仿宋" w:eastAsia="仿宋" w:cs="仿宋"/>
          <w:color w:val="auto"/>
          <w:sz w:val="30"/>
          <w:szCs w:val="30"/>
        </w:rPr>
        <w:t>采购公告/采购邀请书</w:t>
      </w:r>
      <w:bookmarkEnd w:id="1"/>
    </w:p>
    <w:p>
      <w:pPr>
        <w:bidi w:val="0"/>
        <w:jc w:val="center"/>
        <w:rPr>
          <w:rStyle w:val="23"/>
          <w:rFonts w:hint="eastAsia" w:ascii="仿宋" w:hAnsi="仿宋" w:eastAsia="仿宋" w:cs="仿宋"/>
          <w:color w:val="auto"/>
          <w:szCs w:val="30"/>
        </w:rPr>
      </w:pPr>
      <w:r>
        <w:rPr>
          <w:rFonts w:hint="eastAsia" w:ascii="仿宋" w:hAnsi="仿宋" w:eastAsia="仿宋" w:cs="仿宋"/>
          <w:b/>
          <w:bCs/>
          <w:color w:val="auto"/>
          <w:sz w:val="24"/>
          <w:szCs w:val="24"/>
        </w:rPr>
        <w:t>竞争性谈判采购公告</w:t>
      </w:r>
    </w:p>
    <w:p>
      <w:pPr>
        <w:keepNext w:val="0"/>
        <w:keepLines w:val="0"/>
        <w:pageBreakBefore w:val="0"/>
        <w:kinsoku/>
        <w:wordWrap/>
        <w:overflowPunct/>
        <w:topLinePunct w:val="0"/>
        <w:autoSpaceDE/>
        <w:autoSpaceDN/>
        <w:bidi w:val="0"/>
        <w:adjustRightInd/>
        <w:snapToGrid/>
        <w:spacing w:line="360" w:lineRule="atLeast"/>
        <w:ind w:firstLine="482" w:firstLineChars="200"/>
        <w:textAlignment w:val="auto"/>
        <w:rPr>
          <w:rFonts w:hint="eastAsia" w:ascii="仿宋" w:hAnsi="仿宋" w:eastAsia="仿宋" w:cs="仿宋"/>
          <w:color w:val="auto"/>
          <w:kern w:val="0"/>
          <w:sz w:val="24"/>
          <w:shd w:val="clear" w:color="auto" w:fill="FFFFFF"/>
        </w:rPr>
      </w:pPr>
      <w:r>
        <w:rPr>
          <w:rFonts w:hint="eastAsia" w:ascii="仿宋" w:hAnsi="仿宋" w:eastAsia="仿宋" w:cs="仿宋"/>
          <w:b/>
          <w:color w:val="auto"/>
          <w:kern w:val="0"/>
          <w:sz w:val="24"/>
          <w:u w:val="single"/>
          <w:shd w:val="clear" w:color="auto" w:fill="FFFFFF"/>
        </w:rPr>
        <w:t>福建省维恒项目管理有限公司</w:t>
      </w:r>
      <w:r>
        <w:rPr>
          <w:rFonts w:hint="eastAsia" w:ascii="仿宋" w:hAnsi="仿宋" w:eastAsia="仿宋" w:cs="仿宋"/>
          <w:color w:val="auto"/>
          <w:kern w:val="0"/>
          <w:sz w:val="24"/>
          <w:shd w:val="clear" w:color="auto" w:fill="FFFFFF"/>
        </w:rPr>
        <w:t>受</w:t>
      </w:r>
      <w:r>
        <w:rPr>
          <w:rFonts w:hint="eastAsia" w:ascii="仿宋" w:hAnsi="仿宋" w:eastAsia="仿宋" w:cs="仿宋"/>
          <w:b/>
          <w:bCs/>
          <w:color w:val="auto"/>
          <w:kern w:val="0"/>
          <w:sz w:val="24"/>
          <w:u w:val="single"/>
          <w:shd w:val="clear" w:color="auto" w:fill="FFFFFF"/>
          <w:lang w:eastAsia="zh-CN"/>
        </w:rPr>
        <w:t>泉州师范学院</w:t>
      </w:r>
      <w:r>
        <w:rPr>
          <w:rFonts w:hint="eastAsia" w:ascii="仿宋" w:hAnsi="仿宋" w:eastAsia="仿宋" w:cs="仿宋"/>
          <w:color w:val="auto"/>
          <w:kern w:val="0"/>
          <w:sz w:val="24"/>
          <w:shd w:val="clear" w:color="auto" w:fill="FFFFFF"/>
        </w:rPr>
        <w:t>委托，采用</w:t>
      </w:r>
      <w:r>
        <w:rPr>
          <w:rFonts w:hint="eastAsia" w:ascii="仿宋" w:hAnsi="仿宋" w:eastAsia="仿宋" w:cs="仿宋"/>
          <w:b/>
          <w:color w:val="auto"/>
          <w:kern w:val="0"/>
          <w:sz w:val="24"/>
          <w:u w:val="single"/>
          <w:shd w:val="clear" w:color="auto" w:fill="FFFFFF"/>
        </w:rPr>
        <w:t>竞争性谈判</w:t>
      </w:r>
      <w:r>
        <w:rPr>
          <w:rFonts w:hint="eastAsia" w:ascii="仿宋" w:hAnsi="仿宋" w:eastAsia="仿宋" w:cs="仿宋"/>
          <w:color w:val="auto"/>
          <w:kern w:val="0"/>
          <w:sz w:val="24"/>
          <w:shd w:val="clear" w:color="auto" w:fill="FFFFFF"/>
        </w:rPr>
        <w:t>方式组织</w:t>
      </w:r>
      <w:r>
        <w:rPr>
          <w:rFonts w:hint="eastAsia" w:ascii="仿宋" w:hAnsi="仿宋" w:eastAsia="仿宋" w:cs="仿宋"/>
          <w:b/>
          <w:bCs/>
          <w:color w:val="auto"/>
          <w:kern w:val="0"/>
          <w:sz w:val="24"/>
          <w:u w:val="single"/>
          <w:shd w:val="clear" w:color="auto" w:fill="FFFFFF"/>
          <w:lang w:eastAsia="zh-CN"/>
        </w:rPr>
        <w:t>主校区学生公寓走廊及卫生间吊顶板采购</w:t>
      </w:r>
      <w:r>
        <w:rPr>
          <w:rFonts w:hint="eastAsia" w:ascii="仿宋" w:hAnsi="仿宋" w:eastAsia="仿宋" w:cs="仿宋"/>
          <w:color w:val="auto"/>
          <w:kern w:val="0"/>
          <w:sz w:val="24"/>
          <w:shd w:val="clear" w:color="auto" w:fill="FFFFFF"/>
        </w:rPr>
        <w:t>（以下简称：“本项目”）的采购活动，现欢迎国内合格的供应商前来参加。本项目由采购人委托福建省维恒项目管理有限公司开展竞争性谈判活动。</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tLeast"/>
        <w:jc w:val="both"/>
        <w:textAlignment w:val="auto"/>
        <w:rPr>
          <w:rFonts w:hint="eastAsia" w:ascii="仿宋" w:hAnsi="仿宋" w:eastAsia="仿宋" w:cs="仿宋"/>
          <w:color w:val="auto"/>
          <w:shd w:val="clear" w:color="auto" w:fill="FFFFFF"/>
          <w:lang w:eastAsia="zh-CN"/>
        </w:rPr>
      </w:pPr>
      <w:r>
        <w:rPr>
          <w:rFonts w:hint="eastAsia" w:ascii="仿宋" w:hAnsi="仿宋" w:eastAsia="仿宋" w:cs="仿宋"/>
          <w:color w:val="auto"/>
          <w:shd w:val="clear" w:color="auto" w:fill="FFFFFF"/>
        </w:rPr>
        <w:t>1.项目名称：</w:t>
      </w:r>
      <w:r>
        <w:rPr>
          <w:rFonts w:hint="eastAsia" w:ascii="仿宋" w:hAnsi="仿宋" w:eastAsia="仿宋" w:cs="仿宋"/>
          <w:color w:val="auto"/>
          <w:shd w:val="clear" w:color="auto" w:fill="FFFFFF"/>
          <w:lang w:eastAsia="zh-CN"/>
        </w:rPr>
        <w:t>主校区学生公寓走廊及卫生间吊顶板采购</w:t>
      </w:r>
      <w:r>
        <w:rPr>
          <w:rFonts w:hint="eastAsia" w:ascii="仿宋" w:hAnsi="仿宋" w:eastAsia="仿宋" w:cs="仿宋"/>
          <w:color w:val="auto"/>
          <w:shd w:val="clear" w:color="auto" w:fill="FFFFFF"/>
          <w:lang w:val="en-US" w:eastAsia="zh-CN"/>
        </w:rPr>
        <w:t xml:space="preserve">  </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tLeast"/>
        <w:jc w:val="both"/>
        <w:textAlignment w:val="auto"/>
        <w:rPr>
          <w:rFonts w:hint="default" w:ascii="仿宋" w:hAnsi="仿宋" w:eastAsia="仿宋" w:cs="仿宋"/>
          <w:color w:val="auto"/>
          <w:lang w:val="en-US" w:eastAsia="zh-CN"/>
        </w:rPr>
      </w:pPr>
      <w:r>
        <w:rPr>
          <w:rFonts w:hint="eastAsia" w:ascii="仿宋" w:hAnsi="仿宋" w:eastAsia="仿宋" w:cs="仿宋"/>
          <w:color w:val="auto"/>
          <w:shd w:val="clear" w:color="auto" w:fill="FFFFFF"/>
        </w:rPr>
        <w:t>2.项目编号：</w:t>
      </w:r>
      <w:r>
        <w:rPr>
          <w:rFonts w:hint="eastAsia" w:ascii="仿宋" w:hAnsi="仿宋" w:eastAsia="仿宋" w:cs="仿宋"/>
          <w:color w:val="auto"/>
          <w:shd w:val="clear" w:color="auto" w:fill="FFFFFF"/>
          <w:lang w:val="en-US" w:eastAsia="zh-CN"/>
        </w:rPr>
        <w:t xml:space="preserve">WHZCTP2023011 </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tLeast"/>
        <w:textAlignment w:val="auto"/>
        <w:rPr>
          <w:rFonts w:ascii="仿宋" w:hAnsi="仿宋" w:eastAsia="仿宋" w:cs="仿宋"/>
          <w:color w:val="auto"/>
        </w:rPr>
      </w:pPr>
      <w:r>
        <w:rPr>
          <w:rFonts w:hint="eastAsia" w:ascii="仿宋" w:hAnsi="仿宋" w:eastAsia="仿宋" w:cs="仿宋"/>
          <w:color w:val="auto"/>
        </w:rPr>
        <w:t>3.采购内容及要求：</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tLeast"/>
        <w:textAlignment w:val="auto"/>
        <w:rPr>
          <w:rFonts w:hint="eastAsia" w:ascii="仿宋" w:hAnsi="仿宋" w:eastAsia="仿宋" w:cs="仿宋"/>
          <w:color w:val="auto"/>
        </w:rPr>
      </w:pPr>
      <w:r>
        <w:rPr>
          <w:rFonts w:hint="eastAsia" w:ascii="仿宋" w:hAnsi="仿宋" w:eastAsia="仿宋" w:cs="仿宋"/>
          <w:color w:val="auto"/>
        </w:rPr>
        <w:t xml:space="preserve">《采购标的一览表》                                   </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tLeast"/>
        <w:ind w:firstLine="6240" w:firstLineChars="2600"/>
        <w:textAlignment w:val="auto"/>
        <w:rPr>
          <w:rFonts w:ascii="仿宋" w:hAnsi="仿宋" w:eastAsia="仿宋" w:cs="仿宋"/>
          <w:color w:val="auto"/>
        </w:rPr>
      </w:pPr>
      <w:r>
        <w:rPr>
          <w:rFonts w:hint="eastAsia" w:ascii="仿宋" w:hAnsi="仿宋" w:eastAsia="仿宋" w:cs="仿宋"/>
          <w:color w:val="auto"/>
        </w:rPr>
        <w:t xml:space="preserve">金额单位：人民币元 </w:t>
      </w:r>
    </w:p>
    <w:tbl>
      <w:tblPr>
        <w:tblStyle w:val="20"/>
        <w:tblW w:w="5402"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43"/>
        <w:gridCol w:w="585"/>
        <w:gridCol w:w="2026"/>
        <w:gridCol w:w="559"/>
        <w:gridCol w:w="854"/>
        <w:gridCol w:w="1220"/>
        <w:gridCol w:w="1244"/>
        <w:gridCol w:w="752"/>
        <w:gridCol w:w="13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13" w:hRule="atLeast"/>
          <w:tblHeader/>
          <w:jc w:val="center"/>
        </w:trPr>
        <w:tc>
          <w:tcPr>
            <w:tcW w:w="347"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宋体"/>
                <w:b/>
                <w:color w:val="auto"/>
                <w:kern w:val="0"/>
                <w:sz w:val="21"/>
                <w:szCs w:val="21"/>
              </w:rPr>
            </w:pPr>
            <w:r>
              <w:rPr>
                <w:rFonts w:ascii="仿宋" w:hAnsi="仿宋" w:eastAsia="仿宋" w:cs="宋体"/>
                <w:b/>
                <w:color w:val="auto"/>
                <w:kern w:val="0"/>
                <w:sz w:val="21"/>
                <w:szCs w:val="21"/>
              </w:rPr>
              <w:t>合同包</w:t>
            </w:r>
          </w:p>
        </w:tc>
        <w:tc>
          <w:tcPr>
            <w:tcW w:w="316"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宋体"/>
                <w:b/>
                <w:color w:val="auto"/>
                <w:kern w:val="0"/>
                <w:sz w:val="21"/>
                <w:szCs w:val="21"/>
              </w:rPr>
            </w:pPr>
            <w:r>
              <w:rPr>
                <w:rFonts w:ascii="仿宋" w:hAnsi="仿宋" w:eastAsia="仿宋" w:cs="宋体"/>
                <w:b/>
                <w:color w:val="auto"/>
                <w:kern w:val="0"/>
                <w:sz w:val="21"/>
                <w:szCs w:val="21"/>
              </w:rPr>
              <w:t>品目号</w:t>
            </w:r>
          </w:p>
        </w:tc>
        <w:tc>
          <w:tcPr>
            <w:tcW w:w="1094"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宋体"/>
                <w:b/>
                <w:color w:val="auto"/>
                <w:kern w:val="0"/>
                <w:sz w:val="21"/>
                <w:szCs w:val="21"/>
              </w:rPr>
            </w:pPr>
            <w:r>
              <w:rPr>
                <w:rFonts w:ascii="仿宋" w:hAnsi="仿宋" w:eastAsia="仿宋" w:cs="宋体"/>
                <w:b/>
                <w:color w:val="auto"/>
                <w:kern w:val="0"/>
                <w:sz w:val="21"/>
                <w:szCs w:val="21"/>
              </w:rPr>
              <w:t>采购标的</w:t>
            </w:r>
          </w:p>
        </w:tc>
        <w:tc>
          <w:tcPr>
            <w:tcW w:w="302"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宋体"/>
                <w:b/>
                <w:color w:val="auto"/>
                <w:kern w:val="0"/>
                <w:sz w:val="21"/>
                <w:szCs w:val="21"/>
              </w:rPr>
            </w:pPr>
            <w:r>
              <w:rPr>
                <w:rFonts w:ascii="仿宋" w:hAnsi="仿宋" w:eastAsia="仿宋" w:cs="宋体"/>
                <w:b/>
                <w:color w:val="auto"/>
                <w:kern w:val="0"/>
                <w:sz w:val="21"/>
                <w:szCs w:val="21"/>
              </w:rPr>
              <w:t>允许进口</w:t>
            </w:r>
          </w:p>
        </w:tc>
        <w:tc>
          <w:tcPr>
            <w:tcW w:w="461"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宋体"/>
                <w:b/>
                <w:color w:val="auto"/>
                <w:kern w:val="0"/>
                <w:sz w:val="21"/>
                <w:szCs w:val="21"/>
              </w:rPr>
            </w:pPr>
            <w:r>
              <w:rPr>
                <w:rFonts w:ascii="仿宋" w:hAnsi="仿宋" w:eastAsia="仿宋" w:cs="宋体"/>
                <w:b/>
                <w:color w:val="auto"/>
                <w:kern w:val="0"/>
                <w:sz w:val="21"/>
                <w:szCs w:val="21"/>
              </w:rPr>
              <w:t>数量</w:t>
            </w:r>
          </w:p>
        </w:tc>
        <w:tc>
          <w:tcPr>
            <w:tcW w:w="659"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宋体"/>
                <w:b/>
                <w:bCs w:val="0"/>
                <w:color w:val="auto"/>
                <w:kern w:val="0"/>
                <w:sz w:val="21"/>
                <w:szCs w:val="21"/>
              </w:rPr>
            </w:pPr>
            <w:r>
              <w:rPr>
                <w:rFonts w:ascii="仿宋" w:hAnsi="仿宋" w:eastAsia="仿宋" w:cs="宋体"/>
                <w:b/>
                <w:bCs w:val="0"/>
                <w:color w:val="auto"/>
                <w:kern w:val="0"/>
                <w:sz w:val="21"/>
                <w:szCs w:val="21"/>
              </w:rPr>
              <w:t>品目号预算</w:t>
            </w:r>
          </w:p>
        </w:tc>
        <w:tc>
          <w:tcPr>
            <w:tcW w:w="672"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宋体"/>
                <w:b/>
                <w:bCs w:val="0"/>
                <w:color w:val="auto"/>
                <w:kern w:val="0"/>
                <w:sz w:val="21"/>
                <w:szCs w:val="21"/>
              </w:rPr>
            </w:pPr>
            <w:r>
              <w:rPr>
                <w:rFonts w:ascii="仿宋" w:hAnsi="仿宋" w:eastAsia="仿宋" w:cs="宋体"/>
                <w:b/>
                <w:bCs w:val="0"/>
                <w:color w:val="auto"/>
                <w:kern w:val="0"/>
                <w:sz w:val="21"/>
                <w:szCs w:val="21"/>
              </w:rPr>
              <w:t>合同包预算</w:t>
            </w:r>
          </w:p>
        </w:tc>
        <w:tc>
          <w:tcPr>
            <w:tcW w:w="406"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宋体"/>
                <w:b/>
                <w:color w:val="auto"/>
                <w:kern w:val="0"/>
                <w:sz w:val="21"/>
                <w:szCs w:val="21"/>
              </w:rPr>
            </w:pPr>
            <w:r>
              <w:rPr>
                <w:rFonts w:ascii="仿宋" w:hAnsi="仿宋" w:eastAsia="仿宋" w:cs="宋体"/>
                <w:b/>
                <w:color w:val="auto"/>
                <w:kern w:val="0"/>
                <w:sz w:val="21"/>
                <w:szCs w:val="21"/>
              </w:rPr>
              <w:t>谈判保证金</w:t>
            </w:r>
          </w:p>
        </w:tc>
        <w:tc>
          <w:tcPr>
            <w:tcW w:w="740"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宋体"/>
                <w:b/>
                <w:color w:val="auto"/>
                <w:kern w:val="0"/>
                <w:sz w:val="21"/>
                <w:szCs w:val="21"/>
              </w:rPr>
            </w:pPr>
            <w:r>
              <w:rPr>
                <w:rFonts w:hint="eastAsia" w:ascii="仿宋" w:hAnsi="仿宋" w:eastAsia="仿宋" w:cs="宋体"/>
                <w:b/>
                <w:color w:val="auto"/>
                <w:kern w:val="0"/>
                <w:sz w:val="21"/>
                <w:szCs w:val="21"/>
              </w:rPr>
              <w:t>中小企业划分标准所属行业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44" w:hRule="atLeast"/>
          <w:jc w:val="center"/>
        </w:trPr>
        <w:tc>
          <w:tcPr>
            <w:tcW w:w="347" w:type="pc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宋体"/>
                <w:color w:val="auto"/>
                <w:kern w:val="0"/>
                <w:sz w:val="21"/>
                <w:szCs w:val="21"/>
              </w:rPr>
            </w:pPr>
            <w:r>
              <w:rPr>
                <w:rFonts w:ascii="仿宋" w:hAnsi="仿宋" w:eastAsia="仿宋" w:cs="宋体"/>
                <w:color w:val="auto"/>
                <w:kern w:val="0"/>
                <w:sz w:val="21"/>
                <w:szCs w:val="21"/>
              </w:rPr>
              <w:t>1</w:t>
            </w:r>
          </w:p>
        </w:tc>
        <w:tc>
          <w:tcPr>
            <w:tcW w:w="316"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宋体"/>
                <w:color w:val="auto"/>
                <w:kern w:val="0"/>
                <w:sz w:val="21"/>
                <w:szCs w:val="21"/>
              </w:rPr>
            </w:pPr>
            <w:r>
              <w:rPr>
                <w:rFonts w:hint="eastAsia" w:ascii="仿宋" w:hAnsi="仿宋" w:eastAsia="仿宋" w:cs="宋体"/>
                <w:color w:val="auto"/>
                <w:kern w:val="0"/>
                <w:sz w:val="21"/>
                <w:szCs w:val="21"/>
              </w:rPr>
              <w:t>1-1</w:t>
            </w:r>
          </w:p>
        </w:tc>
        <w:tc>
          <w:tcPr>
            <w:tcW w:w="1094"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宋体"/>
                <w:color w:val="auto"/>
                <w:kern w:val="0"/>
                <w:sz w:val="21"/>
                <w:szCs w:val="21"/>
                <w:lang w:eastAsia="zh-CN"/>
              </w:rPr>
            </w:pPr>
            <w:r>
              <w:rPr>
                <w:rFonts w:hint="eastAsia" w:ascii="仿宋" w:hAnsi="仿宋" w:eastAsia="仿宋" w:cs="宋体"/>
                <w:color w:val="auto"/>
                <w:kern w:val="0"/>
                <w:sz w:val="21"/>
                <w:szCs w:val="21"/>
                <w:lang w:eastAsia="zh-CN"/>
              </w:rPr>
              <w:t>主校区学生公寓走廊及卫生间吊顶板采购</w:t>
            </w:r>
          </w:p>
        </w:tc>
        <w:tc>
          <w:tcPr>
            <w:tcW w:w="302"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宋体"/>
                <w:color w:val="auto"/>
                <w:kern w:val="0"/>
                <w:sz w:val="21"/>
                <w:szCs w:val="21"/>
              </w:rPr>
            </w:pPr>
            <w:r>
              <w:rPr>
                <w:rFonts w:hint="eastAsia" w:ascii="仿宋" w:hAnsi="仿宋" w:eastAsia="仿宋" w:cs="宋体"/>
                <w:color w:val="auto"/>
                <w:kern w:val="0"/>
                <w:sz w:val="21"/>
                <w:szCs w:val="21"/>
              </w:rPr>
              <w:t>否</w:t>
            </w:r>
          </w:p>
        </w:tc>
        <w:tc>
          <w:tcPr>
            <w:tcW w:w="461" w:type="pct"/>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宋体"/>
                <w:color w:val="auto"/>
                <w:kern w:val="0"/>
                <w:sz w:val="21"/>
                <w:szCs w:val="21"/>
                <w:lang w:val="en-US" w:eastAsia="zh-CN"/>
              </w:rPr>
            </w:pPr>
            <w:r>
              <w:rPr>
                <w:rFonts w:hint="eastAsia" w:ascii="仿宋" w:hAnsi="仿宋" w:eastAsia="仿宋" w:cs="宋体"/>
                <w:color w:val="auto"/>
                <w:kern w:val="0"/>
                <w:sz w:val="21"/>
                <w:szCs w:val="21"/>
                <w:lang w:val="en-US" w:eastAsia="zh-CN"/>
              </w:rPr>
              <w:t>1项</w:t>
            </w:r>
          </w:p>
        </w:tc>
        <w:tc>
          <w:tcPr>
            <w:tcW w:w="659" w:type="pc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宋体"/>
                <w:color w:val="auto"/>
                <w:kern w:val="0"/>
                <w:sz w:val="21"/>
                <w:szCs w:val="21"/>
              </w:rPr>
            </w:pPr>
            <w:r>
              <w:rPr>
                <w:rFonts w:hint="eastAsia" w:ascii="仿宋" w:hAnsi="仿宋" w:eastAsia="仿宋" w:cs="宋体"/>
                <w:color w:val="auto"/>
                <w:kern w:val="0"/>
                <w:sz w:val="21"/>
                <w:szCs w:val="21"/>
                <w:lang w:val="en-US" w:eastAsia="zh-CN"/>
              </w:rPr>
              <w:t>250000.00</w:t>
            </w:r>
          </w:p>
        </w:tc>
        <w:tc>
          <w:tcPr>
            <w:tcW w:w="672" w:type="pc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宋体"/>
                <w:color w:val="auto"/>
                <w:kern w:val="0"/>
                <w:sz w:val="21"/>
                <w:szCs w:val="21"/>
              </w:rPr>
            </w:pPr>
            <w:r>
              <w:rPr>
                <w:rFonts w:hint="eastAsia" w:ascii="仿宋" w:hAnsi="仿宋" w:eastAsia="仿宋" w:cs="宋体"/>
                <w:color w:val="auto"/>
                <w:kern w:val="0"/>
                <w:sz w:val="21"/>
                <w:szCs w:val="21"/>
                <w:lang w:val="en-US" w:eastAsia="zh-CN"/>
              </w:rPr>
              <w:t>250000.00</w:t>
            </w:r>
          </w:p>
        </w:tc>
        <w:tc>
          <w:tcPr>
            <w:tcW w:w="406" w:type="pc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宋体"/>
                <w:color w:val="auto"/>
                <w:kern w:val="0"/>
                <w:sz w:val="21"/>
                <w:szCs w:val="21"/>
              </w:rPr>
            </w:pPr>
            <w:r>
              <w:rPr>
                <w:rFonts w:hint="eastAsia" w:ascii="仿宋" w:hAnsi="仿宋" w:eastAsia="仿宋" w:cs="宋体"/>
                <w:color w:val="auto"/>
                <w:kern w:val="0"/>
                <w:sz w:val="21"/>
                <w:szCs w:val="21"/>
              </w:rPr>
              <w:t>0</w:t>
            </w:r>
          </w:p>
        </w:tc>
        <w:tc>
          <w:tcPr>
            <w:tcW w:w="740" w:type="pct"/>
            <w:tcBorders>
              <w:top w:val="outset" w:color="auto" w:sz="6" w:space="0"/>
              <w:left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宋体"/>
                <w:color w:val="auto"/>
                <w:kern w:val="0"/>
                <w:sz w:val="21"/>
                <w:szCs w:val="21"/>
                <w:lang w:eastAsia="zh-CN"/>
              </w:rPr>
            </w:pPr>
            <w:r>
              <w:rPr>
                <w:rFonts w:hint="eastAsia" w:ascii="仿宋" w:hAnsi="仿宋" w:eastAsia="仿宋" w:cs="仿宋"/>
                <w:color w:val="auto"/>
                <w:kern w:val="0"/>
                <w:sz w:val="21"/>
                <w:szCs w:val="21"/>
                <w:lang w:eastAsia="zh-CN"/>
              </w:rPr>
              <w:t>零售业</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仿宋"/>
          <w:color w:val="auto"/>
          <w:kern w:val="0"/>
          <w:sz w:val="24"/>
        </w:rPr>
      </w:pPr>
      <w:r>
        <w:rPr>
          <w:rFonts w:hint="eastAsia" w:ascii="仿宋" w:hAnsi="仿宋" w:eastAsia="仿宋" w:cs="仿宋"/>
          <w:color w:val="auto"/>
          <w:kern w:val="0"/>
          <w:sz w:val="24"/>
        </w:rPr>
        <w:t>4.采购项目需要落实的政府采购政策：节能产品和环境标志产品，适用于（合同包1），按照《关于调整优化节能产品、环境标志产品政府采购执行机制的通知》(财库〔2019〕9号) 执行</w:t>
      </w:r>
      <w:r>
        <w:rPr>
          <w:rFonts w:hint="eastAsia" w:ascii="仿宋" w:hAnsi="仿宋" w:eastAsia="仿宋" w:cs="仿宋"/>
          <w:color w:val="auto"/>
          <w:kern w:val="0"/>
          <w:sz w:val="24"/>
          <w:lang w:eastAsia="zh-CN"/>
        </w:rPr>
        <w:t>。</w:t>
      </w:r>
      <w:r>
        <w:rPr>
          <w:rFonts w:hint="eastAsia" w:ascii="仿宋" w:hAnsi="仿宋" w:eastAsia="仿宋" w:cs="仿宋"/>
          <w:color w:val="auto"/>
          <w:kern w:val="0"/>
          <w:sz w:val="24"/>
        </w:rPr>
        <w:t>小型、微型企业，适用于合同包1。监狱企业，适用于合同包1。促进残疾人就业，适用于合同包1。信用记录，适用于合同包1，按照下列规定执行：</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不得被列入财政部政府采购严重违法失信行为记录名单，不得被人民法院列入生效的失信被执行人名单,不得被税务机关列入重大税收违法案件当事人名单。</w:t>
      </w:r>
      <w:r>
        <w:rPr>
          <w:rFonts w:ascii="仿宋" w:hAnsi="仿宋" w:eastAsia="仿宋" w:cs="仿宋"/>
          <w:color w:val="auto"/>
          <w:kern w:val="0"/>
          <w:sz w:val="24"/>
        </w:rPr>
        <w:t>（1）</w:t>
      </w:r>
      <w:r>
        <w:rPr>
          <w:rFonts w:hint="eastAsia" w:ascii="仿宋" w:hAnsi="仿宋" w:eastAsia="仿宋" w:cs="仿宋"/>
          <w:color w:val="auto"/>
          <w:kern w:val="0"/>
          <w:sz w:val="24"/>
          <w:lang w:eastAsia="zh-CN"/>
        </w:rPr>
        <w:t>供应商</w:t>
      </w:r>
      <w:r>
        <w:rPr>
          <w:rFonts w:ascii="仿宋" w:hAnsi="仿宋" w:eastAsia="仿宋" w:cs="仿宋"/>
          <w:color w:val="auto"/>
          <w:kern w:val="0"/>
          <w:sz w:val="24"/>
        </w:rPr>
        <w:t>应在</w:t>
      </w:r>
      <w:r>
        <w:rPr>
          <w:rFonts w:hint="eastAsia" w:ascii="仿宋" w:hAnsi="仿宋" w:eastAsia="仿宋" w:cs="仿宋"/>
          <w:color w:val="auto"/>
          <w:kern w:val="0"/>
          <w:sz w:val="24"/>
        </w:rPr>
        <w:t>谈判</w:t>
      </w:r>
      <w:r>
        <w:rPr>
          <w:rFonts w:ascii="仿宋" w:hAnsi="仿宋" w:eastAsia="仿宋" w:cs="仿宋"/>
          <w:color w:val="auto"/>
          <w:kern w:val="0"/>
          <w:sz w:val="24"/>
        </w:rPr>
        <w:t>文件要求的截止时点前分别通过“信用中国”网站（www.creditchina.gov.cn）、中国政府采购网（www.ccgp.gov.cn）查询并打印相应的信用记录（以下简称：“</w:t>
      </w:r>
      <w:r>
        <w:rPr>
          <w:rFonts w:hint="eastAsia" w:ascii="仿宋" w:hAnsi="仿宋" w:eastAsia="仿宋" w:cs="仿宋"/>
          <w:color w:val="auto"/>
          <w:kern w:val="0"/>
          <w:sz w:val="24"/>
          <w:lang w:eastAsia="zh-CN"/>
        </w:rPr>
        <w:t>供应商</w:t>
      </w:r>
      <w:r>
        <w:rPr>
          <w:rFonts w:ascii="仿宋" w:hAnsi="仿宋" w:eastAsia="仿宋" w:cs="仿宋"/>
          <w:color w:val="auto"/>
          <w:kern w:val="0"/>
          <w:sz w:val="24"/>
        </w:rPr>
        <w:t>提供的查询结果”），</w:t>
      </w:r>
      <w:r>
        <w:rPr>
          <w:rFonts w:hint="eastAsia" w:ascii="仿宋" w:hAnsi="仿宋" w:eastAsia="仿宋" w:cs="仿宋"/>
          <w:color w:val="auto"/>
          <w:kern w:val="0"/>
          <w:sz w:val="24"/>
          <w:lang w:eastAsia="zh-CN"/>
        </w:rPr>
        <w:t>供应商</w:t>
      </w:r>
      <w:r>
        <w:rPr>
          <w:rFonts w:ascii="仿宋" w:hAnsi="仿宋" w:eastAsia="仿宋" w:cs="仿宋"/>
          <w:color w:val="auto"/>
          <w:kern w:val="0"/>
          <w:sz w:val="24"/>
        </w:rPr>
        <w:t>提供的查询结果应为其通过上述网站获取的信用信息查询结果原始页面的打印件（或截图）。（2）查询结果的审查：①由</w:t>
      </w:r>
      <w:r>
        <w:rPr>
          <w:rFonts w:hint="eastAsia" w:ascii="仿宋" w:hAnsi="仿宋" w:eastAsia="仿宋" w:cs="仿宋"/>
          <w:color w:val="auto"/>
          <w:kern w:val="0"/>
          <w:sz w:val="24"/>
          <w:lang w:eastAsia="zh-CN"/>
        </w:rPr>
        <w:t>谈判</w:t>
      </w:r>
      <w:r>
        <w:rPr>
          <w:rFonts w:ascii="仿宋" w:hAnsi="仿宋" w:eastAsia="仿宋" w:cs="仿宋"/>
          <w:color w:val="auto"/>
          <w:kern w:val="0"/>
          <w:sz w:val="24"/>
        </w:rPr>
        <w:t>小组通过上述网站查询并打印</w:t>
      </w:r>
      <w:r>
        <w:rPr>
          <w:rFonts w:hint="eastAsia" w:ascii="仿宋" w:hAnsi="仿宋" w:eastAsia="仿宋" w:cs="仿宋"/>
          <w:color w:val="auto"/>
          <w:kern w:val="0"/>
          <w:sz w:val="24"/>
          <w:lang w:eastAsia="zh-CN"/>
        </w:rPr>
        <w:t>供应商</w:t>
      </w:r>
      <w:r>
        <w:rPr>
          <w:rFonts w:ascii="仿宋" w:hAnsi="仿宋" w:eastAsia="仿宋" w:cs="仿宋"/>
          <w:color w:val="auto"/>
          <w:kern w:val="0"/>
          <w:sz w:val="24"/>
        </w:rPr>
        <w:t>信用记录（以下简称：“</w:t>
      </w:r>
      <w:r>
        <w:rPr>
          <w:rFonts w:hint="eastAsia" w:ascii="仿宋" w:hAnsi="仿宋" w:eastAsia="仿宋" w:cs="仿宋"/>
          <w:color w:val="auto"/>
          <w:kern w:val="0"/>
          <w:sz w:val="24"/>
          <w:lang w:eastAsia="zh-CN"/>
        </w:rPr>
        <w:t>谈判</w:t>
      </w:r>
      <w:r>
        <w:rPr>
          <w:rFonts w:ascii="仿宋" w:hAnsi="仿宋" w:eastAsia="仿宋" w:cs="仿宋"/>
          <w:color w:val="auto"/>
          <w:kern w:val="0"/>
          <w:sz w:val="24"/>
        </w:rPr>
        <w:t>小组的查询结果”）。②</w:t>
      </w:r>
      <w:r>
        <w:rPr>
          <w:rFonts w:hint="eastAsia" w:ascii="仿宋" w:hAnsi="仿宋" w:eastAsia="仿宋" w:cs="仿宋"/>
          <w:color w:val="auto"/>
          <w:kern w:val="0"/>
          <w:sz w:val="24"/>
          <w:lang w:eastAsia="zh-CN"/>
        </w:rPr>
        <w:t>供应商</w:t>
      </w:r>
      <w:r>
        <w:rPr>
          <w:rFonts w:ascii="仿宋" w:hAnsi="仿宋" w:eastAsia="仿宋" w:cs="仿宋"/>
          <w:color w:val="auto"/>
          <w:kern w:val="0"/>
          <w:sz w:val="24"/>
        </w:rPr>
        <w:t>提供的查询结果与</w:t>
      </w:r>
      <w:r>
        <w:rPr>
          <w:rFonts w:hint="eastAsia" w:ascii="仿宋" w:hAnsi="仿宋" w:eastAsia="仿宋" w:cs="仿宋"/>
          <w:color w:val="auto"/>
          <w:kern w:val="0"/>
          <w:sz w:val="24"/>
          <w:lang w:eastAsia="zh-CN"/>
        </w:rPr>
        <w:t>谈判</w:t>
      </w:r>
      <w:r>
        <w:rPr>
          <w:rFonts w:ascii="仿宋" w:hAnsi="仿宋" w:eastAsia="仿宋" w:cs="仿宋"/>
          <w:color w:val="auto"/>
          <w:kern w:val="0"/>
          <w:sz w:val="24"/>
        </w:rPr>
        <w:t>小组的查询结果不一致的，以</w:t>
      </w:r>
      <w:r>
        <w:rPr>
          <w:rFonts w:hint="eastAsia" w:ascii="仿宋" w:hAnsi="仿宋" w:eastAsia="仿宋" w:cs="仿宋"/>
          <w:color w:val="auto"/>
          <w:kern w:val="0"/>
          <w:sz w:val="24"/>
          <w:lang w:eastAsia="zh-CN"/>
        </w:rPr>
        <w:t>谈判</w:t>
      </w:r>
      <w:r>
        <w:rPr>
          <w:rFonts w:ascii="仿宋" w:hAnsi="仿宋" w:eastAsia="仿宋" w:cs="仿宋"/>
          <w:color w:val="auto"/>
          <w:kern w:val="0"/>
          <w:sz w:val="24"/>
        </w:rPr>
        <w:t>小组的查询结果为准。③因上述网站原因导致</w:t>
      </w:r>
      <w:r>
        <w:rPr>
          <w:rFonts w:hint="eastAsia" w:ascii="仿宋" w:hAnsi="仿宋" w:eastAsia="仿宋" w:cs="仿宋"/>
          <w:color w:val="auto"/>
          <w:kern w:val="0"/>
          <w:sz w:val="24"/>
          <w:lang w:eastAsia="zh-CN"/>
        </w:rPr>
        <w:t>谈判</w:t>
      </w:r>
      <w:r>
        <w:rPr>
          <w:rFonts w:ascii="仿宋" w:hAnsi="仿宋" w:eastAsia="仿宋" w:cs="仿宋"/>
          <w:color w:val="auto"/>
          <w:kern w:val="0"/>
          <w:sz w:val="24"/>
        </w:rPr>
        <w:t>小组无法查询</w:t>
      </w:r>
      <w:r>
        <w:rPr>
          <w:rFonts w:hint="eastAsia" w:ascii="仿宋" w:hAnsi="仿宋" w:eastAsia="仿宋" w:cs="仿宋"/>
          <w:color w:val="auto"/>
          <w:kern w:val="0"/>
          <w:sz w:val="24"/>
          <w:lang w:eastAsia="zh-CN"/>
        </w:rPr>
        <w:t>供应商</w:t>
      </w:r>
      <w:r>
        <w:rPr>
          <w:rFonts w:ascii="仿宋" w:hAnsi="仿宋" w:eastAsia="仿宋" w:cs="仿宋"/>
          <w:color w:val="auto"/>
          <w:kern w:val="0"/>
          <w:sz w:val="24"/>
        </w:rPr>
        <w:t>信用记录的（</w:t>
      </w:r>
      <w:r>
        <w:rPr>
          <w:rFonts w:hint="eastAsia" w:ascii="仿宋" w:hAnsi="仿宋" w:eastAsia="仿宋" w:cs="仿宋"/>
          <w:color w:val="auto"/>
          <w:kern w:val="0"/>
          <w:sz w:val="24"/>
          <w:lang w:eastAsia="zh-CN"/>
        </w:rPr>
        <w:t>谈判</w:t>
      </w:r>
      <w:r>
        <w:rPr>
          <w:rFonts w:ascii="仿宋" w:hAnsi="仿宋" w:eastAsia="仿宋" w:cs="仿宋"/>
          <w:color w:val="auto"/>
          <w:kern w:val="0"/>
          <w:sz w:val="24"/>
        </w:rPr>
        <w:t>小组应将通过上述网站查询</w:t>
      </w:r>
      <w:r>
        <w:rPr>
          <w:rFonts w:hint="eastAsia" w:ascii="仿宋" w:hAnsi="仿宋" w:eastAsia="仿宋" w:cs="仿宋"/>
          <w:color w:val="auto"/>
          <w:kern w:val="0"/>
          <w:sz w:val="24"/>
          <w:lang w:eastAsia="zh-CN"/>
        </w:rPr>
        <w:t>供应商</w:t>
      </w:r>
      <w:r>
        <w:rPr>
          <w:rFonts w:ascii="仿宋" w:hAnsi="仿宋" w:eastAsia="仿宋" w:cs="仿宋"/>
          <w:color w:val="auto"/>
          <w:kern w:val="0"/>
          <w:sz w:val="24"/>
        </w:rPr>
        <w:t>信用记录时的原始页面打印后随</w:t>
      </w:r>
      <w:r>
        <w:rPr>
          <w:rFonts w:hint="eastAsia" w:ascii="仿宋" w:hAnsi="仿宋" w:eastAsia="仿宋" w:cs="仿宋"/>
          <w:color w:val="auto"/>
          <w:kern w:val="0"/>
          <w:sz w:val="24"/>
          <w:lang w:eastAsia="zh-CN"/>
        </w:rPr>
        <w:t>采购</w:t>
      </w:r>
      <w:r>
        <w:rPr>
          <w:rFonts w:hint="eastAsia" w:ascii="仿宋" w:hAnsi="仿宋" w:eastAsia="仿宋" w:cs="仿宋"/>
          <w:color w:val="auto"/>
          <w:kern w:val="0"/>
          <w:sz w:val="24"/>
        </w:rPr>
        <w:t>文件</w:t>
      </w:r>
      <w:r>
        <w:rPr>
          <w:rFonts w:ascii="仿宋" w:hAnsi="仿宋" w:eastAsia="仿宋" w:cs="仿宋"/>
          <w:color w:val="auto"/>
          <w:kern w:val="0"/>
          <w:sz w:val="24"/>
        </w:rPr>
        <w:t>一并存档），以</w:t>
      </w:r>
      <w:r>
        <w:rPr>
          <w:rFonts w:hint="eastAsia" w:ascii="仿宋" w:hAnsi="仿宋" w:eastAsia="仿宋" w:cs="仿宋"/>
          <w:color w:val="auto"/>
          <w:kern w:val="0"/>
          <w:sz w:val="24"/>
          <w:lang w:eastAsia="zh-CN"/>
        </w:rPr>
        <w:t>供应商</w:t>
      </w:r>
      <w:r>
        <w:rPr>
          <w:rFonts w:ascii="仿宋" w:hAnsi="仿宋" w:eastAsia="仿宋" w:cs="仿宋"/>
          <w:color w:val="auto"/>
          <w:kern w:val="0"/>
          <w:sz w:val="24"/>
        </w:rPr>
        <w:t>提供的查询结果为准。④查询结果存在</w:t>
      </w:r>
      <w:r>
        <w:rPr>
          <w:rFonts w:hint="eastAsia" w:ascii="仿宋" w:hAnsi="仿宋" w:eastAsia="仿宋" w:cs="仿宋"/>
          <w:color w:val="auto"/>
          <w:kern w:val="0"/>
          <w:sz w:val="24"/>
          <w:lang w:eastAsia="zh-CN"/>
        </w:rPr>
        <w:t>供应商</w:t>
      </w:r>
      <w:r>
        <w:rPr>
          <w:rFonts w:ascii="仿宋" w:hAnsi="仿宋" w:eastAsia="仿宋" w:cs="仿宋"/>
          <w:color w:val="auto"/>
          <w:kern w:val="0"/>
          <w:sz w:val="24"/>
        </w:rPr>
        <w:t>应被拒绝参与政府采购活动相关信息的，其资格审查不合格。</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仿宋"/>
          <w:b/>
          <w:color w:val="auto"/>
          <w:kern w:val="0"/>
          <w:sz w:val="24"/>
        </w:rPr>
      </w:pPr>
      <w:r>
        <w:rPr>
          <w:rFonts w:hint="eastAsia" w:ascii="仿宋" w:hAnsi="仿宋" w:eastAsia="仿宋" w:cs="仿宋"/>
          <w:color w:val="auto"/>
          <w:kern w:val="0"/>
          <w:sz w:val="24"/>
        </w:rPr>
        <w:t>5.</w:t>
      </w:r>
      <w:r>
        <w:rPr>
          <w:rFonts w:hint="eastAsia" w:ascii="仿宋" w:hAnsi="仿宋" w:eastAsia="仿宋" w:cs="仿宋"/>
          <w:b/>
          <w:color w:val="auto"/>
          <w:kern w:val="0"/>
          <w:sz w:val="24"/>
        </w:rPr>
        <w:t>供应商的资格要求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仿宋"/>
          <w:color w:val="auto"/>
          <w:kern w:val="0"/>
          <w:sz w:val="24"/>
        </w:rPr>
      </w:pPr>
      <w:r>
        <w:rPr>
          <w:rFonts w:hint="eastAsia" w:ascii="仿宋" w:hAnsi="仿宋" w:eastAsia="仿宋" w:cs="仿宋"/>
          <w:color w:val="auto"/>
          <w:kern w:val="0"/>
          <w:sz w:val="24"/>
        </w:rPr>
        <w:t>5.1法定条件：符合《中华人民共和国政府采购法》第二十二条第一款规定的条件。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仿宋"/>
          <w:color w:val="auto"/>
          <w:kern w:val="0"/>
          <w:sz w:val="24"/>
        </w:rPr>
      </w:pPr>
      <w:r>
        <w:rPr>
          <w:rFonts w:hint="eastAsia" w:ascii="仿宋" w:hAnsi="仿宋" w:eastAsia="仿宋" w:cs="仿宋"/>
          <w:color w:val="auto"/>
          <w:kern w:val="0"/>
          <w:sz w:val="24"/>
        </w:rPr>
        <w:t>5.2特定条件：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s="仿宋"/>
          <w:color w:val="auto"/>
          <w:kern w:val="0"/>
          <w:sz w:val="24"/>
        </w:rPr>
      </w:pPr>
      <w:r>
        <w:rPr>
          <w:rFonts w:hint="eastAsia" w:ascii="仿宋" w:hAnsi="仿宋" w:eastAsia="仿宋" w:cs="仿宋"/>
          <w:color w:val="auto"/>
          <w:kern w:val="0"/>
          <w:sz w:val="24"/>
        </w:rPr>
        <w:t>包：1</w:t>
      </w:r>
    </w:p>
    <w:tbl>
      <w:tblPr>
        <w:tblStyle w:val="20"/>
        <w:tblW w:w="8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3"/>
        <w:gridCol w:w="4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3" w:type="dxa"/>
          </w:tcPr>
          <w:p>
            <w:pPr>
              <w:pStyle w:val="17"/>
              <w:keepNext w:val="0"/>
              <w:keepLines w:val="0"/>
              <w:pageBreakBefore w:val="0"/>
              <w:kinsoku/>
              <w:wordWrap/>
              <w:overflowPunct/>
              <w:topLinePunct w:val="0"/>
              <w:autoSpaceDE/>
              <w:autoSpaceDN/>
              <w:bidi w:val="0"/>
              <w:adjustRightInd/>
              <w:snapToGrid/>
              <w:spacing w:line="360" w:lineRule="atLeast"/>
              <w:jc w:val="center"/>
              <w:textAlignment w:val="auto"/>
              <w:rPr>
                <w:rFonts w:ascii="仿宋" w:hAnsi="仿宋" w:eastAsia="仿宋" w:cs="仿宋"/>
                <w:b/>
                <w:color w:val="auto"/>
              </w:rPr>
            </w:pPr>
            <w:r>
              <w:rPr>
                <w:rFonts w:hint="eastAsia" w:ascii="仿宋" w:hAnsi="仿宋" w:eastAsia="仿宋" w:cs="仿宋"/>
                <w:b/>
                <w:color w:val="auto"/>
              </w:rPr>
              <w:t>明细</w:t>
            </w:r>
          </w:p>
        </w:tc>
        <w:tc>
          <w:tcPr>
            <w:tcW w:w="4956" w:type="dxa"/>
          </w:tcPr>
          <w:p>
            <w:pPr>
              <w:pStyle w:val="17"/>
              <w:keepNext w:val="0"/>
              <w:keepLines w:val="0"/>
              <w:pageBreakBefore w:val="0"/>
              <w:kinsoku/>
              <w:wordWrap/>
              <w:overflowPunct/>
              <w:topLinePunct w:val="0"/>
              <w:autoSpaceDE/>
              <w:autoSpaceDN/>
              <w:bidi w:val="0"/>
              <w:adjustRightInd/>
              <w:snapToGrid/>
              <w:spacing w:line="360" w:lineRule="atLeast"/>
              <w:jc w:val="center"/>
              <w:textAlignment w:val="auto"/>
              <w:rPr>
                <w:rFonts w:ascii="仿宋" w:hAnsi="仿宋" w:eastAsia="仿宋" w:cs="仿宋"/>
                <w:b/>
                <w:color w:val="auto"/>
              </w:rPr>
            </w:pPr>
            <w:r>
              <w:rPr>
                <w:rFonts w:hint="eastAsia" w:ascii="仿宋" w:hAnsi="仿宋" w:eastAsia="仿宋" w:cs="仿宋"/>
                <w:b/>
                <w:color w:val="auto"/>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3" w:type="dxa"/>
            <w:vAlign w:val="center"/>
          </w:tcPr>
          <w:p>
            <w:pPr>
              <w:widowControl/>
              <w:jc w:val="both"/>
              <w:rPr>
                <w:rFonts w:ascii="仿宋" w:hAnsi="仿宋" w:eastAsia="仿宋" w:cs="仿宋"/>
                <w:b w:val="0"/>
                <w:bCs/>
                <w:color w:val="auto"/>
              </w:rPr>
            </w:pPr>
            <w:r>
              <w:rPr>
                <w:rFonts w:hint="eastAsia" w:ascii="仿宋" w:hAnsi="仿宋" w:eastAsia="仿宋" w:cs="宋体"/>
                <w:color w:val="auto"/>
                <w:kern w:val="0"/>
                <w:sz w:val="24"/>
              </w:rPr>
              <w:t>落实政府采购政策的证明材料（专门面向中小企业采购）</w:t>
            </w:r>
          </w:p>
        </w:tc>
        <w:tc>
          <w:tcPr>
            <w:tcW w:w="4956" w:type="dxa"/>
            <w:vAlign w:val="center"/>
          </w:tcPr>
          <w:p>
            <w:pPr>
              <w:widowControl/>
              <w:ind w:right="-101" w:rightChars="-48"/>
              <w:jc w:val="both"/>
              <w:rPr>
                <w:rFonts w:ascii="仿宋" w:hAnsi="仿宋" w:eastAsia="仿宋" w:cs="仿宋"/>
                <w:b w:val="0"/>
                <w:bCs/>
                <w:color w:val="auto"/>
              </w:rPr>
            </w:pPr>
            <w:r>
              <w:rPr>
                <w:rFonts w:ascii="仿宋" w:hAnsi="仿宋" w:eastAsia="仿宋" w:cs="仿宋"/>
                <w:b w:val="0"/>
                <w:bCs/>
                <w:color w:val="auto"/>
                <w:sz w:val="24"/>
                <w:szCs w:val="24"/>
              </w:rPr>
              <w:t>本采购包为专门面向中小企业采购，投标人须提供中小企业声明函。监狱企业、残疾人福利性单位视同小型、微型企业。</w:t>
            </w:r>
          </w:p>
        </w:tc>
      </w:tr>
    </w:tbl>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s="仿宋"/>
          <w:color w:val="auto"/>
          <w:kern w:val="0"/>
          <w:sz w:val="24"/>
        </w:rPr>
      </w:pPr>
      <w:r>
        <w:rPr>
          <w:rFonts w:hint="eastAsia" w:ascii="仿宋" w:hAnsi="仿宋" w:eastAsia="仿宋" w:cs="仿宋"/>
          <w:color w:val="auto"/>
          <w:kern w:val="0"/>
          <w:sz w:val="24"/>
        </w:rPr>
        <w:t>5.3是否接受联合体形式的响应谈判：不接受</w:t>
      </w:r>
    </w:p>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s="仿宋"/>
          <w:color w:val="auto"/>
          <w:kern w:val="0"/>
          <w:sz w:val="24"/>
        </w:rPr>
      </w:pPr>
      <w:r>
        <w:rPr>
          <w:rFonts w:hint="eastAsia" w:ascii="仿宋" w:hAnsi="仿宋" w:eastAsia="仿宋" w:cs="仿宋"/>
          <w:color w:val="auto"/>
          <w:kern w:val="0"/>
          <w:sz w:val="24"/>
        </w:rPr>
        <w:t>※根据上述资格要求，供应商响应文件中应提交的“资格证明文件”相关规定和资料要求，详见竞争性谈判须知前附表和谈判文件第五章。</w:t>
      </w:r>
    </w:p>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s="仿宋"/>
          <w:color w:val="auto"/>
          <w:kern w:val="0"/>
          <w:sz w:val="24"/>
        </w:rPr>
      </w:pPr>
      <w:r>
        <w:rPr>
          <w:rFonts w:hint="eastAsia" w:ascii="仿宋" w:hAnsi="仿宋" w:eastAsia="仿宋" w:cs="仿宋"/>
          <w:color w:val="auto"/>
          <w:kern w:val="0"/>
          <w:sz w:val="24"/>
        </w:rPr>
        <w:t>6.供应商报名期限：</w:t>
      </w:r>
      <w:r>
        <w:rPr>
          <w:rFonts w:hint="eastAsia" w:ascii="仿宋" w:hAnsi="仿宋" w:eastAsia="仿宋" w:cs="仿宋"/>
          <w:color w:val="FF0000"/>
          <w:kern w:val="0"/>
          <w:sz w:val="24"/>
          <w:u w:val="single"/>
          <w:lang w:val="en-US" w:eastAsia="zh-CN"/>
        </w:rPr>
        <w:t>2023</w:t>
      </w:r>
      <w:r>
        <w:rPr>
          <w:rFonts w:hint="eastAsia" w:ascii="仿宋" w:hAnsi="仿宋" w:eastAsia="仿宋" w:cs="仿宋"/>
          <w:color w:val="FF0000"/>
          <w:kern w:val="0"/>
          <w:sz w:val="24"/>
        </w:rPr>
        <w:t>年</w:t>
      </w:r>
      <w:r>
        <w:rPr>
          <w:rFonts w:hint="eastAsia" w:ascii="仿宋" w:hAnsi="仿宋" w:eastAsia="仿宋" w:cs="仿宋"/>
          <w:color w:val="FF0000"/>
          <w:kern w:val="0"/>
          <w:sz w:val="24"/>
          <w:u w:val="single"/>
          <w:lang w:val="en-US" w:eastAsia="zh-CN"/>
        </w:rPr>
        <w:t>07</w:t>
      </w:r>
      <w:r>
        <w:rPr>
          <w:rFonts w:hint="eastAsia" w:ascii="仿宋" w:hAnsi="仿宋" w:eastAsia="仿宋" w:cs="仿宋"/>
          <w:color w:val="FF0000"/>
          <w:kern w:val="0"/>
          <w:sz w:val="24"/>
        </w:rPr>
        <w:t>月</w:t>
      </w:r>
      <w:r>
        <w:rPr>
          <w:rFonts w:hint="eastAsia" w:ascii="仿宋" w:hAnsi="仿宋" w:eastAsia="仿宋" w:cs="仿宋"/>
          <w:color w:val="FF0000"/>
          <w:kern w:val="0"/>
          <w:sz w:val="24"/>
          <w:u w:val="single"/>
          <w:lang w:val="en-US" w:eastAsia="zh-CN"/>
        </w:rPr>
        <w:t>18</w:t>
      </w:r>
      <w:r>
        <w:rPr>
          <w:rFonts w:hint="eastAsia" w:ascii="仿宋" w:hAnsi="仿宋" w:eastAsia="仿宋" w:cs="仿宋"/>
          <w:color w:val="FF0000"/>
          <w:kern w:val="0"/>
          <w:sz w:val="24"/>
        </w:rPr>
        <w:t>日至</w:t>
      </w:r>
      <w:r>
        <w:rPr>
          <w:rFonts w:hint="eastAsia" w:ascii="仿宋" w:hAnsi="仿宋" w:eastAsia="仿宋" w:cs="仿宋"/>
          <w:color w:val="FF0000"/>
          <w:kern w:val="0"/>
          <w:sz w:val="24"/>
          <w:u w:val="single"/>
          <w:lang w:val="en-US" w:eastAsia="zh-CN"/>
        </w:rPr>
        <w:t>2023</w:t>
      </w:r>
      <w:r>
        <w:rPr>
          <w:rFonts w:hint="eastAsia" w:ascii="仿宋" w:hAnsi="仿宋" w:eastAsia="仿宋" w:cs="仿宋"/>
          <w:color w:val="FF0000"/>
          <w:kern w:val="0"/>
          <w:sz w:val="24"/>
        </w:rPr>
        <w:t>年</w:t>
      </w:r>
      <w:r>
        <w:rPr>
          <w:rFonts w:hint="eastAsia" w:ascii="仿宋" w:hAnsi="仿宋" w:eastAsia="仿宋" w:cs="仿宋"/>
          <w:color w:val="FF0000"/>
          <w:kern w:val="0"/>
          <w:sz w:val="24"/>
          <w:u w:val="single"/>
          <w:lang w:val="en-US" w:eastAsia="zh-CN"/>
        </w:rPr>
        <w:t>07</w:t>
      </w:r>
      <w:r>
        <w:rPr>
          <w:rFonts w:hint="eastAsia" w:ascii="仿宋" w:hAnsi="仿宋" w:eastAsia="仿宋" w:cs="仿宋"/>
          <w:color w:val="FF0000"/>
          <w:kern w:val="0"/>
          <w:sz w:val="24"/>
        </w:rPr>
        <w:t>月</w:t>
      </w:r>
      <w:r>
        <w:rPr>
          <w:rFonts w:hint="eastAsia" w:ascii="仿宋" w:hAnsi="仿宋" w:eastAsia="仿宋" w:cs="仿宋"/>
          <w:color w:val="FF0000"/>
          <w:kern w:val="0"/>
          <w:sz w:val="24"/>
          <w:u w:val="single"/>
          <w:lang w:val="en-US" w:eastAsia="zh-CN"/>
        </w:rPr>
        <w:t>20</w:t>
      </w:r>
      <w:r>
        <w:rPr>
          <w:rFonts w:hint="eastAsia" w:ascii="仿宋" w:hAnsi="仿宋" w:eastAsia="仿宋" w:cs="仿宋"/>
          <w:color w:val="FF0000"/>
          <w:kern w:val="0"/>
          <w:sz w:val="24"/>
        </w:rPr>
        <w:t>日</w:t>
      </w:r>
      <w:r>
        <w:rPr>
          <w:rFonts w:hint="eastAsia" w:ascii="仿宋" w:hAnsi="仿宋" w:eastAsia="仿宋" w:cs="仿宋"/>
          <w:color w:val="auto"/>
          <w:kern w:val="0"/>
          <w:sz w:val="24"/>
        </w:rPr>
        <w:t>止。欲接受邀请参加谈判的供应商请在上述期限内的工作时间（北京时间）每天上午8:30—12:00时，下午14:30—17:30时。</w:t>
      </w:r>
    </w:p>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s="仿宋"/>
          <w:color w:val="auto"/>
          <w:kern w:val="0"/>
          <w:sz w:val="24"/>
        </w:rPr>
      </w:pPr>
      <w:r>
        <w:rPr>
          <w:rFonts w:hint="eastAsia" w:ascii="仿宋" w:hAnsi="仿宋" w:eastAsia="仿宋" w:cs="仿宋"/>
          <w:color w:val="auto"/>
          <w:kern w:val="0"/>
          <w:sz w:val="24"/>
        </w:rPr>
        <w:t>6.1如果采购过程中有发出更正公告，采购人将根据实际情况确定是否延长报名期限，则报名截止时间以更正公告中的约定为准。</w:t>
      </w:r>
    </w:p>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s="仿宋"/>
          <w:color w:val="auto"/>
          <w:kern w:val="0"/>
          <w:sz w:val="24"/>
        </w:rPr>
      </w:pPr>
      <w:r>
        <w:rPr>
          <w:rFonts w:hint="eastAsia" w:ascii="仿宋" w:hAnsi="仿宋" w:eastAsia="仿宋" w:cs="仿宋"/>
          <w:color w:val="auto"/>
          <w:kern w:val="0"/>
          <w:sz w:val="24"/>
        </w:rPr>
        <w:t>7.获取采购文件时间、地点、方式：</w:t>
      </w:r>
    </w:p>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s="仿宋"/>
          <w:color w:val="auto"/>
          <w:kern w:val="0"/>
          <w:sz w:val="24"/>
        </w:rPr>
      </w:pPr>
      <w:r>
        <w:rPr>
          <w:rFonts w:hint="eastAsia" w:ascii="仿宋" w:hAnsi="仿宋" w:eastAsia="仿宋" w:cs="仿宋"/>
          <w:color w:val="auto"/>
          <w:kern w:val="0"/>
          <w:sz w:val="24"/>
        </w:rPr>
        <w:t>7.1采购文件的提供期限：</w:t>
      </w:r>
      <w:r>
        <w:rPr>
          <w:rFonts w:hint="eastAsia" w:ascii="仿宋" w:hAnsi="仿宋" w:eastAsia="仿宋" w:cs="仿宋"/>
          <w:color w:val="FF0000"/>
          <w:kern w:val="0"/>
          <w:sz w:val="24"/>
          <w:u w:val="single"/>
          <w:lang w:val="en-US" w:eastAsia="zh-CN"/>
        </w:rPr>
        <w:t>2023</w:t>
      </w:r>
      <w:r>
        <w:rPr>
          <w:rFonts w:hint="eastAsia" w:ascii="仿宋" w:hAnsi="仿宋" w:eastAsia="仿宋" w:cs="仿宋"/>
          <w:color w:val="FF0000"/>
          <w:kern w:val="0"/>
          <w:sz w:val="24"/>
        </w:rPr>
        <w:t>年</w:t>
      </w:r>
      <w:r>
        <w:rPr>
          <w:rFonts w:hint="eastAsia" w:ascii="仿宋" w:hAnsi="仿宋" w:eastAsia="仿宋" w:cs="仿宋"/>
          <w:color w:val="FF0000"/>
          <w:kern w:val="0"/>
          <w:sz w:val="24"/>
          <w:u w:val="single"/>
          <w:lang w:val="en-US" w:eastAsia="zh-CN"/>
        </w:rPr>
        <w:t>07</w:t>
      </w:r>
      <w:r>
        <w:rPr>
          <w:rFonts w:hint="eastAsia" w:ascii="仿宋" w:hAnsi="仿宋" w:eastAsia="仿宋" w:cs="仿宋"/>
          <w:color w:val="FF0000"/>
          <w:kern w:val="0"/>
          <w:sz w:val="24"/>
        </w:rPr>
        <w:t>月</w:t>
      </w:r>
      <w:r>
        <w:rPr>
          <w:rFonts w:hint="eastAsia" w:ascii="仿宋" w:hAnsi="仿宋" w:eastAsia="仿宋" w:cs="仿宋"/>
          <w:color w:val="FF0000"/>
          <w:kern w:val="0"/>
          <w:sz w:val="24"/>
          <w:u w:val="single"/>
          <w:lang w:val="en-US" w:eastAsia="zh-CN"/>
        </w:rPr>
        <w:t>18</w:t>
      </w:r>
      <w:r>
        <w:rPr>
          <w:rFonts w:hint="eastAsia" w:ascii="仿宋" w:hAnsi="仿宋" w:eastAsia="仿宋" w:cs="仿宋"/>
          <w:color w:val="FF0000"/>
          <w:kern w:val="0"/>
          <w:sz w:val="24"/>
        </w:rPr>
        <w:t>日至</w:t>
      </w:r>
      <w:r>
        <w:rPr>
          <w:rFonts w:hint="eastAsia" w:ascii="仿宋" w:hAnsi="仿宋" w:eastAsia="仿宋" w:cs="仿宋"/>
          <w:color w:val="FF0000"/>
          <w:kern w:val="0"/>
          <w:sz w:val="24"/>
          <w:u w:val="single"/>
          <w:lang w:val="en-US" w:eastAsia="zh-CN"/>
        </w:rPr>
        <w:t>2023</w:t>
      </w:r>
      <w:r>
        <w:rPr>
          <w:rFonts w:hint="eastAsia" w:ascii="仿宋" w:hAnsi="仿宋" w:eastAsia="仿宋" w:cs="仿宋"/>
          <w:color w:val="FF0000"/>
          <w:kern w:val="0"/>
          <w:sz w:val="24"/>
        </w:rPr>
        <w:t>年</w:t>
      </w:r>
      <w:r>
        <w:rPr>
          <w:rFonts w:hint="eastAsia" w:ascii="仿宋" w:hAnsi="仿宋" w:eastAsia="仿宋" w:cs="仿宋"/>
          <w:color w:val="FF0000"/>
          <w:kern w:val="0"/>
          <w:sz w:val="24"/>
          <w:u w:val="single"/>
          <w:lang w:val="en-US" w:eastAsia="zh-CN"/>
        </w:rPr>
        <w:t>07</w:t>
      </w:r>
      <w:r>
        <w:rPr>
          <w:rFonts w:hint="eastAsia" w:ascii="仿宋" w:hAnsi="仿宋" w:eastAsia="仿宋" w:cs="仿宋"/>
          <w:color w:val="FF0000"/>
          <w:kern w:val="0"/>
          <w:sz w:val="24"/>
        </w:rPr>
        <w:t>月</w:t>
      </w:r>
      <w:r>
        <w:rPr>
          <w:rFonts w:hint="eastAsia" w:ascii="仿宋" w:hAnsi="仿宋" w:eastAsia="仿宋" w:cs="仿宋"/>
          <w:color w:val="FF0000"/>
          <w:kern w:val="0"/>
          <w:sz w:val="24"/>
          <w:u w:val="single"/>
          <w:lang w:val="en-US" w:eastAsia="zh-CN"/>
        </w:rPr>
        <w:t>20</w:t>
      </w:r>
      <w:r>
        <w:rPr>
          <w:rFonts w:hint="eastAsia" w:ascii="仿宋" w:hAnsi="仿宋" w:eastAsia="仿宋" w:cs="仿宋"/>
          <w:color w:val="FF0000"/>
          <w:kern w:val="0"/>
          <w:sz w:val="24"/>
        </w:rPr>
        <w:t>日</w:t>
      </w:r>
      <w:r>
        <w:rPr>
          <w:rFonts w:hint="eastAsia" w:ascii="仿宋" w:hAnsi="仿宋" w:eastAsia="仿宋" w:cs="仿宋"/>
          <w:color w:val="auto"/>
          <w:kern w:val="0"/>
          <w:sz w:val="24"/>
        </w:rPr>
        <w:t>止。欲接受邀请参加谈判的供应商请在上述期限内的工作时间（北京时间）每天上午8:30—12:00时，下午14:30—17:30时。</w:t>
      </w:r>
    </w:p>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s="仿宋"/>
          <w:color w:val="auto"/>
          <w:kern w:val="0"/>
          <w:sz w:val="24"/>
        </w:rPr>
      </w:pPr>
      <w:r>
        <w:rPr>
          <w:rFonts w:hint="eastAsia" w:ascii="仿宋" w:hAnsi="仿宋" w:eastAsia="仿宋" w:cs="仿宋"/>
          <w:color w:val="auto"/>
          <w:kern w:val="0"/>
          <w:sz w:val="24"/>
        </w:rPr>
        <w:t>7.2获取采购文件地点及方式：到福建省维恒项目管理有限公司（</w:t>
      </w:r>
      <w:r>
        <w:rPr>
          <w:rFonts w:hint="eastAsia" w:ascii="仿宋" w:hAnsi="仿宋" w:eastAsia="仿宋" w:cs="仿宋"/>
          <w:color w:val="auto"/>
          <w:kern w:val="0"/>
          <w:sz w:val="24"/>
          <w:lang w:eastAsia="zh-CN"/>
        </w:rPr>
        <w:t>福建省泉州市丰泽区城东街道前头社区安吉南路970号星光耀广场18幢2726室</w:t>
      </w:r>
      <w:r>
        <w:rPr>
          <w:rFonts w:hint="eastAsia" w:ascii="仿宋" w:hAnsi="仿宋" w:eastAsia="仿宋" w:cs="仿宋"/>
          <w:color w:val="auto"/>
          <w:kern w:val="0"/>
          <w:sz w:val="24"/>
        </w:rPr>
        <w:t>）现场购买或通过QQ邮箱（</w:t>
      </w:r>
      <w:r>
        <w:rPr>
          <w:rFonts w:hint="eastAsia" w:ascii="仿宋" w:hAnsi="仿宋" w:eastAsia="仿宋" w:cs="仿宋"/>
          <w:color w:val="auto"/>
          <w:kern w:val="0"/>
          <w:sz w:val="24"/>
          <w:lang w:val="en-US" w:eastAsia="zh-CN"/>
        </w:rPr>
        <w:t>2843255830</w:t>
      </w:r>
      <w:r>
        <w:rPr>
          <w:rFonts w:hint="eastAsia" w:ascii="仿宋" w:hAnsi="仿宋" w:eastAsia="仿宋" w:cs="仿宋"/>
          <w:color w:val="auto"/>
          <w:kern w:val="0"/>
          <w:sz w:val="24"/>
        </w:rPr>
        <w:t>@qq.com）报名方式获取采购文件。</w:t>
      </w:r>
    </w:p>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s="仿宋"/>
          <w:color w:val="auto"/>
          <w:kern w:val="0"/>
          <w:sz w:val="24"/>
        </w:rPr>
      </w:pPr>
      <w:r>
        <w:rPr>
          <w:rFonts w:hint="eastAsia" w:ascii="仿宋" w:hAnsi="仿宋" w:eastAsia="仿宋" w:cs="仿宋"/>
          <w:color w:val="auto"/>
          <w:kern w:val="0"/>
          <w:sz w:val="24"/>
        </w:rPr>
        <w:t>8.采购文件售价：300元，如需邮寄另加50元，售后不退。没有按约定购买采购文件的供应商，谈判将被拒绝。   </w:t>
      </w:r>
    </w:p>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s="仿宋"/>
          <w:color w:val="auto"/>
          <w:kern w:val="0"/>
          <w:sz w:val="24"/>
        </w:rPr>
      </w:pPr>
      <w:r>
        <w:rPr>
          <w:rFonts w:hint="eastAsia" w:ascii="仿宋" w:hAnsi="仿宋" w:eastAsia="仿宋" w:cs="仿宋"/>
          <w:color w:val="auto"/>
          <w:kern w:val="0"/>
          <w:sz w:val="24"/>
        </w:rPr>
        <w:t>9.响应文件递交截止时间及地点：</w:t>
      </w:r>
    </w:p>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s="仿宋"/>
          <w:color w:val="auto"/>
          <w:kern w:val="0"/>
          <w:sz w:val="24"/>
        </w:rPr>
      </w:pPr>
      <w:r>
        <w:rPr>
          <w:rFonts w:hint="eastAsia" w:ascii="仿宋" w:hAnsi="仿宋" w:eastAsia="仿宋" w:cs="仿宋"/>
          <w:color w:val="auto"/>
          <w:kern w:val="0"/>
          <w:sz w:val="24"/>
        </w:rPr>
        <w:t>9.1响应文件递交截止时间：</w:t>
      </w:r>
      <w:r>
        <w:rPr>
          <w:rFonts w:hint="eastAsia" w:ascii="仿宋" w:hAnsi="仿宋" w:eastAsia="仿宋" w:cs="仿宋"/>
          <w:color w:val="FF0000"/>
          <w:kern w:val="0"/>
          <w:sz w:val="24"/>
          <w:u w:val="single"/>
          <w:lang w:val="en-US" w:eastAsia="zh-CN"/>
        </w:rPr>
        <w:t>2023</w:t>
      </w:r>
      <w:r>
        <w:rPr>
          <w:rFonts w:hint="eastAsia" w:ascii="仿宋" w:hAnsi="仿宋" w:eastAsia="仿宋" w:cs="仿宋"/>
          <w:color w:val="FF0000"/>
          <w:kern w:val="0"/>
          <w:sz w:val="24"/>
        </w:rPr>
        <w:t>年</w:t>
      </w:r>
      <w:r>
        <w:rPr>
          <w:rFonts w:hint="eastAsia" w:ascii="仿宋" w:hAnsi="仿宋" w:eastAsia="仿宋" w:cs="仿宋"/>
          <w:color w:val="FF0000"/>
          <w:kern w:val="0"/>
          <w:sz w:val="24"/>
          <w:u w:val="single"/>
          <w:lang w:val="en-US" w:eastAsia="zh-CN"/>
        </w:rPr>
        <w:t>07</w:t>
      </w:r>
      <w:r>
        <w:rPr>
          <w:rFonts w:hint="eastAsia" w:ascii="仿宋" w:hAnsi="仿宋" w:eastAsia="仿宋" w:cs="仿宋"/>
          <w:color w:val="FF0000"/>
          <w:kern w:val="0"/>
          <w:sz w:val="24"/>
        </w:rPr>
        <w:t>月</w:t>
      </w:r>
      <w:r>
        <w:rPr>
          <w:rFonts w:hint="eastAsia" w:ascii="仿宋" w:hAnsi="仿宋" w:eastAsia="仿宋" w:cs="仿宋"/>
          <w:color w:val="FF0000"/>
          <w:kern w:val="0"/>
          <w:sz w:val="24"/>
          <w:u w:val="single"/>
          <w:lang w:val="en-US" w:eastAsia="zh-CN"/>
        </w:rPr>
        <w:t>21</w:t>
      </w:r>
      <w:r>
        <w:rPr>
          <w:rFonts w:hint="eastAsia" w:ascii="仿宋" w:hAnsi="仿宋" w:eastAsia="仿宋" w:cs="仿宋"/>
          <w:color w:val="FF0000"/>
          <w:kern w:val="0"/>
          <w:sz w:val="24"/>
        </w:rPr>
        <w:t>日</w:t>
      </w:r>
      <w:r>
        <w:rPr>
          <w:rFonts w:hint="eastAsia" w:ascii="仿宋" w:hAnsi="仿宋" w:eastAsia="仿宋" w:cs="仿宋"/>
          <w:color w:val="FF0000"/>
          <w:kern w:val="0"/>
          <w:sz w:val="24"/>
          <w:u w:val="single"/>
          <w:lang w:val="en-US" w:eastAsia="zh-CN"/>
        </w:rPr>
        <w:t>15</w:t>
      </w:r>
      <w:r>
        <w:rPr>
          <w:rFonts w:hint="eastAsia" w:ascii="仿宋" w:hAnsi="仿宋" w:eastAsia="仿宋" w:cs="仿宋"/>
          <w:color w:val="FF0000"/>
          <w:kern w:val="0"/>
          <w:sz w:val="24"/>
        </w:rPr>
        <w:t>时</w:t>
      </w:r>
      <w:r>
        <w:rPr>
          <w:rFonts w:hint="eastAsia" w:ascii="仿宋" w:hAnsi="仿宋" w:eastAsia="仿宋" w:cs="仿宋"/>
          <w:color w:val="FF0000"/>
          <w:kern w:val="0"/>
          <w:sz w:val="24"/>
          <w:u w:val="single"/>
          <w:lang w:val="en-US" w:eastAsia="zh-CN"/>
        </w:rPr>
        <w:t>00</w:t>
      </w:r>
      <w:r>
        <w:rPr>
          <w:rFonts w:hint="eastAsia" w:ascii="仿宋" w:hAnsi="仿宋" w:eastAsia="仿宋" w:cs="仿宋"/>
          <w:color w:val="FF0000"/>
          <w:kern w:val="0"/>
          <w:sz w:val="24"/>
        </w:rPr>
        <w:t>分</w:t>
      </w:r>
      <w:r>
        <w:rPr>
          <w:rFonts w:hint="eastAsia" w:ascii="仿宋" w:hAnsi="仿宋" w:eastAsia="仿宋" w:cs="仿宋"/>
          <w:color w:val="auto"/>
          <w:kern w:val="0"/>
          <w:sz w:val="24"/>
        </w:rPr>
        <w:t>(北京时间)。</w:t>
      </w:r>
    </w:p>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s="仿宋"/>
          <w:color w:val="auto"/>
          <w:kern w:val="0"/>
          <w:sz w:val="24"/>
        </w:rPr>
      </w:pPr>
      <w:r>
        <w:rPr>
          <w:rFonts w:hint="eastAsia" w:ascii="仿宋" w:hAnsi="仿宋" w:eastAsia="仿宋" w:cs="仿宋"/>
          <w:color w:val="auto"/>
          <w:kern w:val="0"/>
          <w:sz w:val="24"/>
        </w:rPr>
        <w:t>9.2响应文件递交地点：福建省维恒项目管理有限公司开标大厅（地址：</w:t>
      </w:r>
      <w:r>
        <w:rPr>
          <w:rFonts w:hint="eastAsia" w:ascii="仿宋" w:hAnsi="仿宋" w:eastAsia="仿宋" w:cs="仿宋"/>
          <w:color w:val="auto"/>
          <w:kern w:val="0"/>
          <w:sz w:val="24"/>
          <w:lang w:eastAsia="zh-CN"/>
        </w:rPr>
        <w:t>福建省泉州市丰泽区城东街道前头社区安吉南路970号星光耀广场18幢2726室</w:t>
      </w:r>
      <w:r>
        <w:rPr>
          <w:rFonts w:hint="eastAsia" w:ascii="仿宋" w:hAnsi="仿宋" w:eastAsia="仿宋" w:cs="仿宋"/>
          <w:color w:val="auto"/>
          <w:kern w:val="0"/>
          <w:sz w:val="24"/>
        </w:rPr>
        <w:t>）。</w:t>
      </w:r>
    </w:p>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s="仿宋"/>
          <w:color w:val="auto"/>
          <w:kern w:val="0"/>
          <w:sz w:val="24"/>
        </w:rPr>
      </w:pPr>
      <w:r>
        <w:rPr>
          <w:rFonts w:hint="eastAsia" w:ascii="仿宋" w:hAnsi="仿宋" w:eastAsia="仿宋" w:cs="仿宋"/>
          <w:color w:val="auto"/>
          <w:kern w:val="0"/>
          <w:sz w:val="24"/>
        </w:rPr>
        <w:t>9.3供应商应在此之前将密封的首次响应文件送达本章第9条载明的地点，逾期送达的或不符合规定的响应文件将被拒绝接收。</w:t>
      </w:r>
    </w:p>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s="仿宋"/>
          <w:color w:val="auto"/>
          <w:kern w:val="0"/>
          <w:sz w:val="24"/>
        </w:rPr>
      </w:pPr>
      <w:r>
        <w:rPr>
          <w:rFonts w:hint="eastAsia" w:ascii="仿宋" w:hAnsi="仿宋" w:eastAsia="仿宋" w:cs="仿宋"/>
          <w:color w:val="auto"/>
          <w:kern w:val="0"/>
          <w:sz w:val="24"/>
        </w:rPr>
        <w:t>10.谈判时间及地点：</w:t>
      </w:r>
    </w:p>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s="仿宋"/>
          <w:color w:val="auto"/>
          <w:kern w:val="0"/>
          <w:sz w:val="24"/>
        </w:rPr>
      </w:pPr>
      <w:r>
        <w:rPr>
          <w:rFonts w:hint="eastAsia" w:ascii="仿宋" w:hAnsi="仿宋" w:eastAsia="仿宋" w:cs="仿宋"/>
          <w:color w:val="auto"/>
          <w:kern w:val="0"/>
          <w:sz w:val="24"/>
        </w:rPr>
        <w:t>10.1谈判时间：</w:t>
      </w:r>
      <w:r>
        <w:rPr>
          <w:rFonts w:hint="eastAsia" w:ascii="仿宋" w:hAnsi="仿宋" w:eastAsia="仿宋" w:cs="仿宋"/>
          <w:color w:val="FF0000"/>
          <w:kern w:val="0"/>
          <w:sz w:val="24"/>
          <w:u w:val="single"/>
          <w:lang w:val="en-US" w:eastAsia="zh-CN"/>
        </w:rPr>
        <w:t>2023</w:t>
      </w:r>
      <w:r>
        <w:rPr>
          <w:rFonts w:hint="eastAsia" w:ascii="仿宋" w:hAnsi="仿宋" w:eastAsia="仿宋" w:cs="仿宋"/>
          <w:color w:val="FF0000"/>
          <w:kern w:val="0"/>
          <w:sz w:val="24"/>
        </w:rPr>
        <w:t>年</w:t>
      </w:r>
      <w:r>
        <w:rPr>
          <w:rFonts w:hint="eastAsia" w:ascii="仿宋" w:hAnsi="仿宋" w:eastAsia="仿宋" w:cs="仿宋"/>
          <w:color w:val="FF0000"/>
          <w:kern w:val="0"/>
          <w:sz w:val="24"/>
          <w:u w:val="single"/>
          <w:lang w:val="en-US" w:eastAsia="zh-CN"/>
        </w:rPr>
        <w:t>07</w:t>
      </w:r>
      <w:r>
        <w:rPr>
          <w:rFonts w:hint="eastAsia" w:ascii="仿宋" w:hAnsi="仿宋" w:eastAsia="仿宋" w:cs="仿宋"/>
          <w:color w:val="FF0000"/>
          <w:kern w:val="0"/>
          <w:sz w:val="24"/>
        </w:rPr>
        <w:t>月</w:t>
      </w:r>
      <w:r>
        <w:rPr>
          <w:rFonts w:hint="eastAsia" w:ascii="仿宋" w:hAnsi="仿宋" w:eastAsia="仿宋" w:cs="仿宋"/>
          <w:color w:val="FF0000"/>
          <w:kern w:val="0"/>
          <w:sz w:val="24"/>
          <w:u w:val="single"/>
          <w:lang w:val="en-US" w:eastAsia="zh-CN"/>
        </w:rPr>
        <w:t>21</w:t>
      </w:r>
      <w:r>
        <w:rPr>
          <w:rFonts w:hint="eastAsia" w:ascii="仿宋" w:hAnsi="仿宋" w:eastAsia="仿宋" w:cs="仿宋"/>
          <w:color w:val="FF0000"/>
          <w:kern w:val="0"/>
          <w:sz w:val="24"/>
        </w:rPr>
        <w:t>日</w:t>
      </w:r>
      <w:r>
        <w:rPr>
          <w:rFonts w:hint="eastAsia" w:ascii="仿宋" w:hAnsi="仿宋" w:eastAsia="仿宋" w:cs="仿宋"/>
          <w:color w:val="FF0000"/>
          <w:kern w:val="0"/>
          <w:sz w:val="24"/>
          <w:u w:val="single"/>
          <w:lang w:val="en-US" w:eastAsia="zh-CN"/>
        </w:rPr>
        <w:t>15</w:t>
      </w:r>
      <w:r>
        <w:rPr>
          <w:rFonts w:hint="eastAsia" w:ascii="仿宋" w:hAnsi="仿宋" w:eastAsia="仿宋" w:cs="仿宋"/>
          <w:color w:val="FF0000"/>
          <w:kern w:val="0"/>
          <w:sz w:val="24"/>
        </w:rPr>
        <w:t>时</w:t>
      </w:r>
      <w:r>
        <w:rPr>
          <w:rFonts w:hint="eastAsia" w:ascii="仿宋" w:hAnsi="仿宋" w:eastAsia="仿宋" w:cs="仿宋"/>
          <w:color w:val="FF0000"/>
          <w:kern w:val="0"/>
          <w:sz w:val="24"/>
          <w:u w:val="single"/>
          <w:lang w:val="en-US" w:eastAsia="zh-CN"/>
        </w:rPr>
        <w:t>00</w:t>
      </w:r>
      <w:r>
        <w:rPr>
          <w:rFonts w:hint="eastAsia" w:ascii="仿宋" w:hAnsi="仿宋" w:eastAsia="仿宋" w:cs="仿宋"/>
          <w:color w:val="FF0000"/>
          <w:kern w:val="0"/>
          <w:sz w:val="24"/>
        </w:rPr>
        <w:t>分</w:t>
      </w:r>
      <w:r>
        <w:rPr>
          <w:rFonts w:hint="eastAsia" w:ascii="仿宋" w:hAnsi="仿宋" w:eastAsia="仿宋" w:cs="仿宋"/>
          <w:color w:val="auto"/>
          <w:kern w:val="0"/>
          <w:sz w:val="24"/>
        </w:rPr>
        <w:t>(北京时间)。</w:t>
      </w:r>
    </w:p>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s="仿宋"/>
          <w:color w:val="auto"/>
          <w:kern w:val="0"/>
          <w:sz w:val="24"/>
        </w:rPr>
      </w:pPr>
      <w:r>
        <w:rPr>
          <w:rFonts w:hint="eastAsia" w:ascii="仿宋" w:hAnsi="仿宋" w:eastAsia="仿宋" w:cs="仿宋"/>
          <w:color w:val="auto"/>
          <w:kern w:val="0"/>
          <w:sz w:val="24"/>
        </w:rPr>
        <w:t>10.2谈判地点：福建省维恒项目管理有限公司开标大厅（地址：</w:t>
      </w:r>
      <w:r>
        <w:rPr>
          <w:rFonts w:hint="eastAsia" w:ascii="仿宋" w:hAnsi="仿宋" w:eastAsia="仿宋" w:cs="仿宋"/>
          <w:color w:val="auto"/>
          <w:kern w:val="0"/>
          <w:sz w:val="24"/>
          <w:lang w:eastAsia="zh-CN"/>
        </w:rPr>
        <w:t>福建省泉州市丰泽区城东街道前头社区安吉南路970号星光耀广场18幢2726室</w:t>
      </w:r>
      <w:r>
        <w:rPr>
          <w:rFonts w:hint="eastAsia" w:ascii="仿宋" w:hAnsi="仿宋" w:eastAsia="仿宋" w:cs="仿宋"/>
          <w:color w:val="auto"/>
          <w:kern w:val="0"/>
          <w:sz w:val="24"/>
        </w:rPr>
        <w:t>）</w:t>
      </w:r>
    </w:p>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s="仿宋"/>
          <w:color w:val="auto"/>
          <w:kern w:val="0"/>
          <w:sz w:val="24"/>
        </w:rPr>
      </w:pPr>
      <w:r>
        <w:rPr>
          <w:rFonts w:hint="eastAsia" w:ascii="仿宋" w:hAnsi="仿宋" w:eastAsia="仿宋" w:cs="仿宋"/>
          <w:color w:val="auto"/>
          <w:kern w:val="0"/>
          <w:sz w:val="24"/>
        </w:rPr>
        <w:t>11.竞争性谈判公告期限：自政府采购信息发布媒体公告之日起3个工作日。</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rPr>
        <w:t>12.采购人：</w:t>
      </w:r>
      <w:r>
        <w:rPr>
          <w:rFonts w:hint="eastAsia" w:ascii="仿宋" w:hAnsi="仿宋" w:eastAsia="仿宋" w:cs="仿宋"/>
          <w:color w:val="auto"/>
          <w:kern w:val="0"/>
          <w:sz w:val="24"/>
          <w:lang w:eastAsia="zh-CN"/>
        </w:rPr>
        <w:t>泉州师范学院</w:t>
      </w:r>
      <w:r>
        <w:rPr>
          <w:rFonts w:hint="eastAsia" w:ascii="仿宋" w:hAnsi="仿宋" w:eastAsia="仿宋" w:cs="仿宋"/>
          <w:color w:val="auto"/>
          <w:kern w:val="0"/>
          <w:sz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rPr>
        <w:t>地</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址：</w:t>
      </w:r>
      <w:r>
        <w:rPr>
          <w:rFonts w:hint="eastAsia" w:ascii="仿宋" w:hAnsi="仿宋" w:eastAsia="仿宋" w:cs="仿宋"/>
          <w:color w:val="auto"/>
          <w:kern w:val="0"/>
          <w:sz w:val="24"/>
          <w:lang w:eastAsia="zh-CN"/>
        </w:rPr>
        <w:t>泉州市丰泽区东海大街398号</w:t>
      </w:r>
    </w:p>
    <w:p>
      <w:pPr>
        <w:keepNext w:val="0"/>
        <w:keepLines w:val="0"/>
        <w:pageBreakBefore w:val="0"/>
        <w:widowControl/>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Helvetica"/>
          <w:color w:val="auto"/>
          <w:kern w:val="0"/>
          <w:sz w:val="24"/>
          <w:lang w:eastAsia="zh-CN"/>
        </w:rPr>
      </w:pPr>
      <w:r>
        <w:rPr>
          <w:rFonts w:ascii="仿宋" w:hAnsi="仿宋" w:eastAsia="仿宋" w:cs="仿宋"/>
          <w:color w:val="auto"/>
          <w:kern w:val="0"/>
          <w:sz w:val="24"/>
        </w:rPr>
        <w:t>联系人：</w:t>
      </w:r>
      <w:r>
        <w:rPr>
          <w:rFonts w:hint="eastAsia" w:ascii="仿宋" w:hAnsi="仿宋" w:eastAsia="仿宋" w:cs="仿宋"/>
          <w:color w:val="auto"/>
          <w:kern w:val="0"/>
          <w:sz w:val="24"/>
          <w:lang w:val="en-US" w:eastAsia="zh-CN"/>
        </w:rPr>
        <w:t xml:space="preserve">杨老师  </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en-US" w:eastAsia="zh-CN"/>
        </w:rPr>
        <w:t xml:space="preserve">      </w:t>
      </w:r>
      <w:r>
        <w:rPr>
          <w:rFonts w:ascii="仿宋" w:hAnsi="仿宋" w:eastAsia="仿宋" w:cs="仿宋"/>
          <w:color w:val="auto"/>
          <w:kern w:val="0"/>
          <w:sz w:val="24"/>
        </w:rPr>
        <w:t>联系方法：</w:t>
      </w:r>
      <w:r>
        <w:rPr>
          <w:rFonts w:hint="eastAsia" w:ascii="仿宋" w:hAnsi="仿宋" w:eastAsia="仿宋" w:cs="仿宋"/>
          <w:color w:val="auto"/>
          <w:kern w:val="0"/>
          <w:sz w:val="24"/>
          <w:lang w:val="en-US" w:eastAsia="zh-CN"/>
        </w:rPr>
        <w:t xml:space="preserve">18959798163 </w:t>
      </w:r>
    </w:p>
    <w:p>
      <w:pPr>
        <w:keepNext w:val="0"/>
        <w:keepLines w:val="0"/>
        <w:pageBreakBefore w:val="0"/>
        <w:kinsoku/>
        <w:wordWrap/>
        <w:overflowPunct/>
        <w:topLinePunct w:val="0"/>
        <w:autoSpaceDE/>
        <w:autoSpaceDN/>
        <w:bidi w:val="0"/>
        <w:adjustRightInd/>
        <w:snapToGrid/>
        <w:spacing w:line="360" w:lineRule="exact"/>
        <w:textAlignment w:val="auto"/>
        <w:rPr>
          <w:rFonts w:ascii="仿宋" w:hAnsi="仿宋" w:eastAsia="仿宋" w:cs="仿宋"/>
          <w:color w:val="auto"/>
          <w:kern w:val="0"/>
          <w:sz w:val="24"/>
        </w:rPr>
      </w:pPr>
      <w:r>
        <w:rPr>
          <w:rFonts w:hint="eastAsia" w:ascii="仿宋" w:hAnsi="仿宋" w:eastAsia="仿宋" w:cs="仿宋"/>
          <w:color w:val="auto"/>
          <w:kern w:val="0"/>
          <w:sz w:val="24"/>
        </w:rPr>
        <w:t>13.代理机构：福建省维恒项目管理有限公司</w:t>
      </w:r>
    </w:p>
    <w:p>
      <w:pPr>
        <w:keepNext w:val="0"/>
        <w:keepLines w:val="0"/>
        <w:pageBreakBefore w:val="0"/>
        <w:kinsoku/>
        <w:wordWrap/>
        <w:overflowPunct/>
        <w:topLinePunct w:val="0"/>
        <w:autoSpaceDE/>
        <w:autoSpaceDN/>
        <w:bidi w:val="0"/>
        <w:adjustRightInd/>
        <w:snapToGrid/>
        <w:spacing w:line="360" w:lineRule="exact"/>
        <w:ind w:firstLine="600" w:firstLineChars="250"/>
        <w:textAlignment w:val="auto"/>
        <w:rPr>
          <w:rFonts w:hint="eastAsia" w:ascii="仿宋" w:hAnsi="仿宋" w:eastAsia="仿宋" w:cs="仿宋"/>
          <w:color w:val="auto"/>
          <w:kern w:val="0"/>
          <w:sz w:val="24"/>
          <w:lang w:eastAsia="zh-CN"/>
        </w:rPr>
      </w:pPr>
      <w:r>
        <w:rPr>
          <w:rFonts w:hint="eastAsia" w:ascii="仿宋" w:hAnsi="仿宋" w:eastAsia="仿宋" w:cs="仿宋"/>
          <w:color w:val="auto"/>
          <w:kern w:val="0"/>
          <w:sz w:val="24"/>
        </w:rPr>
        <w:t>地</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址：</w:t>
      </w:r>
      <w:r>
        <w:rPr>
          <w:rFonts w:hint="eastAsia" w:ascii="仿宋" w:hAnsi="仿宋" w:eastAsia="仿宋" w:cs="仿宋"/>
          <w:color w:val="auto"/>
          <w:kern w:val="0"/>
          <w:sz w:val="24"/>
          <w:lang w:eastAsia="zh-CN"/>
        </w:rPr>
        <w:t>福建省泉州市丰泽区城东街道前头社区安吉南路970号星光耀广场18幢2726室</w:t>
      </w:r>
    </w:p>
    <w:p>
      <w:pPr>
        <w:keepNext w:val="0"/>
        <w:keepLines w:val="0"/>
        <w:pageBreakBefore w:val="0"/>
        <w:kinsoku/>
        <w:wordWrap/>
        <w:overflowPunct/>
        <w:topLinePunct w:val="0"/>
        <w:autoSpaceDE/>
        <w:autoSpaceDN/>
        <w:bidi w:val="0"/>
        <w:adjustRightInd/>
        <w:snapToGrid/>
        <w:spacing w:line="360" w:lineRule="exact"/>
        <w:ind w:firstLine="600" w:firstLineChars="250"/>
        <w:textAlignment w:val="auto"/>
        <w:rPr>
          <w:rStyle w:val="23"/>
          <w:rFonts w:ascii="仿宋" w:hAnsi="仿宋" w:eastAsia="仿宋" w:cs="仿宋"/>
          <w:color w:val="auto"/>
          <w:sz w:val="30"/>
          <w:szCs w:val="30"/>
        </w:rPr>
      </w:pPr>
      <w:r>
        <w:rPr>
          <w:rFonts w:hint="eastAsia" w:ascii="仿宋" w:hAnsi="仿宋" w:eastAsia="仿宋" w:cs="仿宋"/>
          <w:color w:val="auto"/>
          <w:kern w:val="0"/>
          <w:sz w:val="24"/>
        </w:rPr>
        <w:t>联系人：</w:t>
      </w:r>
      <w:r>
        <w:rPr>
          <w:rFonts w:hint="eastAsia" w:ascii="仿宋" w:hAnsi="仿宋" w:eastAsia="仿宋" w:cs="仿宋"/>
          <w:color w:val="auto"/>
          <w:kern w:val="0"/>
          <w:sz w:val="24"/>
          <w:lang w:eastAsia="zh-CN"/>
        </w:rPr>
        <w:t>周永红</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联系方法：0595-28801009</w:t>
      </w:r>
      <w:bookmarkStart w:id="2" w:name="_Toc27330"/>
    </w:p>
    <w:p>
      <w:pPr>
        <w:keepNext w:val="0"/>
        <w:keepLines w:val="0"/>
        <w:pageBreakBefore w:val="0"/>
        <w:kinsoku/>
        <w:wordWrap/>
        <w:overflowPunct/>
        <w:topLinePunct w:val="0"/>
        <w:autoSpaceDE/>
        <w:autoSpaceDN/>
        <w:bidi w:val="0"/>
        <w:adjustRightInd/>
        <w:snapToGrid/>
        <w:spacing w:line="360" w:lineRule="exact"/>
        <w:ind w:firstLine="6840" w:firstLineChars="2850"/>
        <w:textAlignment w:val="auto"/>
        <w:rPr>
          <w:rFonts w:hint="eastAsia" w:ascii="仿宋" w:hAnsi="仿宋" w:eastAsia="仿宋" w:cs="仿宋"/>
          <w:color w:val="auto"/>
          <w:kern w:val="0"/>
          <w:sz w:val="24"/>
          <w:lang w:val="en-US" w:eastAsia="zh-CN"/>
        </w:rPr>
      </w:pPr>
    </w:p>
    <w:p>
      <w:pPr>
        <w:keepNext w:val="0"/>
        <w:keepLines w:val="0"/>
        <w:pageBreakBefore w:val="0"/>
        <w:kinsoku/>
        <w:wordWrap/>
        <w:overflowPunct/>
        <w:topLinePunct w:val="0"/>
        <w:autoSpaceDE/>
        <w:autoSpaceDN/>
        <w:bidi w:val="0"/>
        <w:adjustRightInd/>
        <w:snapToGrid/>
        <w:spacing w:line="360" w:lineRule="exact"/>
        <w:jc w:val="right"/>
        <w:textAlignment w:val="auto"/>
        <w:rPr>
          <w:rFonts w:hint="eastAsia" w:ascii="仿宋" w:hAnsi="仿宋" w:eastAsia="仿宋" w:cs="仿宋"/>
          <w:color w:val="FF0000"/>
          <w:kern w:val="0"/>
          <w:sz w:val="24"/>
          <w:lang w:val="en-US" w:eastAsia="zh-CN"/>
        </w:rPr>
      </w:pPr>
      <w:r>
        <w:rPr>
          <w:rFonts w:hint="eastAsia" w:ascii="仿宋" w:hAnsi="仿宋" w:eastAsia="仿宋" w:cs="仿宋"/>
          <w:color w:val="FF0000"/>
          <w:kern w:val="0"/>
          <w:sz w:val="24"/>
          <w:lang w:val="en-US" w:eastAsia="zh-CN"/>
        </w:rPr>
        <w:t>2023年07月17</w:t>
      </w:r>
      <w:bookmarkStart w:id="47" w:name="_GoBack"/>
      <w:bookmarkEnd w:id="47"/>
      <w:r>
        <w:rPr>
          <w:rFonts w:hint="eastAsia" w:ascii="仿宋" w:hAnsi="仿宋" w:eastAsia="仿宋" w:cs="仿宋"/>
          <w:color w:val="FF0000"/>
          <w:kern w:val="0"/>
          <w:sz w:val="24"/>
          <w:lang w:val="en-US" w:eastAsia="zh-CN"/>
        </w:rPr>
        <w:t>日</w:t>
      </w:r>
    </w:p>
    <w:p>
      <w:pPr>
        <w:pStyle w:val="17"/>
        <w:keepNext w:val="0"/>
        <w:keepLines w:val="0"/>
        <w:pageBreakBefore w:val="0"/>
        <w:widowControl/>
        <w:kinsoku/>
        <w:wordWrap/>
        <w:overflowPunct/>
        <w:topLinePunct w:val="0"/>
        <w:autoSpaceDE/>
        <w:autoSpaceDN/>
        <w:bidi w:val="0"/>
        <w:adjustRightInd/>
        <w:snapToGrid/>
        <w:spacing w:before="75" w:beforeAutospacing="0" w:after="75" w:afterAutospacing="0" w:line="360" w:lineRule="atLeast"/>
        <w:jc w:val="center"/>
        <w:textAlignment w:val="auto"/>
        <w:outlineLvl w:val="0"/>
        <w:rPr>
          <w:rFonts w:ascii="仿宋" w:hAnsi="仿宋" w:eastAsia="仿宋" w:cs="仿宋"/>
          <w:color w:val="auto"/>
          <w:sz w:val="30"/>
          <w:szCs w:val="30"/>
        </w:rPr>
      </w:pPr>
      <w:bookmarkStart w:id="3" w:name="_Toc19603"/>
      <w:r>
        <w:rPr>
          <w:rStyle w:val="23"/>
          <w:rFonts w:hint="eastAsia" w:ascii="仿宋" w:hAnsi="仿宋" w:eastAsia="仿宋" w:cs="仿宋"/>
          <w:color w:val="auto"/>
          <w:sz w:val="30"/>
          <w:szCs w:val="30"/>
        </w:rPr>
        <w:t>第二章</w:t>
      </w:r>
      <w:r>
        <w:rPr>
          <w:rStyle w:val="23"/>
          <w:rFonts w:hint="eastAsia" w:ascii="仿宋" w:hAnsi="仿宋" w:eastAsia="仿宋" w:cs="仿宋"/>
          <w:color w:val="auto"/>
          <w:sz w:val="30"/>
          <w:szCs w:val="30"/>
          <w:lang w:val="en-US" w:eastAsia="zh-CN"/>
        </w:rPr>
        <w:t xml:space="preserve"> </w:t>
      </w:r>
      <w:r>
        <w:rPr>
          <w:rStyle w:val="23"/>
          <w:rFonts w:hint="eastAsia" w:ascii="仿宋" w:hAnsi="仿宋" w:eastAsia="仿宋" w:cs="仿宋"/>
          <w:color w:val="auto"/>
          <w:sz w:val="30"/>
          <w:szCs w:val="30"/>
        </w:rPr>
        <w:t>竞争性谈判须知</w:t>
      </w:r>
      <w:bookmarkEnd w:id="2"/>
      <w:bookmarkEnd w:id="3"/>
    </w:p>
    <w:p>
      <w:pPr>
        <w:pStyle w:val="17"/>
        <w:widowControl/>
        <w:spacing w:before="75" w:beforeAutospacing="0" w:after="75" w:afterAutospacing="0"/>
        <w:jc w:val="center"/>
        <w:outlineLvl w:val="0"/>
        <w:rPr>
          <w:rStyle w:val="23"/>
          <w:rFonts w:hint="eastAsia" w:ascii="仿宋" w:hAnsi="仿宋" w:eastAsia="仿宋" w:cs="仿宋"/>
          <w:color w:val="auto"/>
        </w:rPr>
      </w:pPr>
      <w:bookmarkStart w:id="4" w:name="_Toc32725"/>
      <w:bookmarkStart w:id="5" w:name="_Toc30981"/>
      <w:r>
        <w:rPr>
          <w:rStyle w:val="23"/>
          <w:rFonts w:hint="eastAsia" w:ascii="仿宋" w:hAnsi="仿宋" w:eastAsia="仿宋" w:cs="仿宋"/>
          <w:color w:val="auto"/>
        </w:rPr>
        <w:t>第1节 竞争性谈判须知前附表</w:t>
      </w:r>
      <w:bookmarkEnd w:id="4"/>
      <w:bookmarkEnd w:id="5"/>
    </w:p>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ind w:firstLine="482"/>
        <w:textAlignment w:val="auto"/>
        <w:rPr>
          <w:rFonts w:ascii="仿宋" w:hAnsi="仿宋" w:eastAsia="仿宋" w:cs="仿宋"/>
          <w:color w:val="auto"/>
        </w:rPr>
      </w:pPr>
      <w:r>
        <w:rPr>
          <w:rFonts w:hint="eastAsia" w:ascii="仿宋" w:hAnsi="仿宋" w:eastAsia="仿宋" w:cs="仿宋"/>
          <w:color w:val="auto"/>
        </w:rPr>
        <w:t>竞争性谈判须知前附表是对竞争性谈判须知的补充和细化，二者如有矛盾，以前附表中的要求和规定为准。</w:t>
      </w:r>
    </w:p>
    <w:tbl>
      <w:tblPr>
        <w:tblStyle w:val="20"/>
        <w:tblW w:w="9701" w:type="dxa"/>
        <w:jc w:val="center"/>
        <w:tblCellSpacing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576"/>
        <w:gridCol w:w="1064"/>
        <w:gridCol w:w="80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 w:hRule="atLeast"/>
          <w:tblCellSpacing w:w="15" w:type="dxa"/>
          <w:jc w:val="center"/>
        </w:trPr>
        <w:tc>
          <w:tcPr>
            <w:tcW w:w="53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auto"/>
              </w:rPr>
            </w:pPr>
            <w:r>
              <w:rPr>
                <w:rStyle w:val="23"/>
                <w:rFonts w:hint="eastAsia" w:ascii="仿宋" w:hAnsi="仿宋" w:eastAsia="仿宋" w:cs="仿宋"/>
                <w:color w:val="auto"/>
              </w:rPr>
              <w:t>项号</w:t>
            </w:r>
          </w:p>
        </w:tc>
        <w:tc>
          <w:tcPr>
            <w:tcW w:w="103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auto"/>
              </w:rPr>
            </w:pPr>
            <w:r>
              <w:rPr>
                <w:rStyle w:val="23"/>
                <w:rFonts w:hint="eastAsia" w:ascii="仿宋" w:hAnsi="仿宋" w:eastAsia="仿宋" w:cs="仿宋"/>
                <w:color w:val="auto"/>
              </w:rPr>
              <w:t>条款号</w:t>
            </w:r>
          </w:p>
        </w:tc>
        <w:tc>
          <w:tcPr>
            <w:tcW w:w="80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auto"/>
              </w:rPr>
            </w:pPr>
            <w:r>
              <w:rPr>
                <w:rStyle w:val="23"/>
                <w:rFonts w:hint="eastAsia" w:ascii="仿宋" w:hAnsi="仿宋" w:eastAsia="仿宋" w:cs="仿宋"/>
                <w:color w:val="auto"/>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jc w:val="center"/>
        </w:trPr>
        <w:tc>
          <w:tcPr>
            <w:tcW w:w="53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auto"/>
              </w:rPr>
            </w:pPr>
            <w:r>
              <w:rPr>
                <w:rFonts w:hint="eastAsia" w:ascii="仿宋" w:hAnsi="仿宋" w:eastAsia="仿宋" w:cs="仿宋"/>
                <w:color w:val="auto"/>
              </w:rPr>
              <w:t>1</w:t>
            </w:r>
          </w:p>
        </w:tc>
        <w:tc>
          <w:tcPr>
            <w:tcW w:w="103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Fonts w:hint="eastAsia" w:ascii="仿宋" w:hAnsi="仿宋" w:eastAsia="仿宋" w:cs="仿宋"/>
                <w:color w:val="auto"/>
              </w:rPr>
              <w:t>3.2.1</w:t>
            </w:r>
          </w:p>
        </w:tc>
        <w:tc>
          <w:tcPr>
            <w:tcW w:w="80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Style w:val="23"/>
                <w:rFonts w:hint="eastAsia" w:ascii="仿宋" w:hAnsi="仿宋" w:eastAsia="仿宋" w:cs="仿宋"/>
                <w:color w:val="auto"/>
              </w:rPr>
              <w:t>供应商的资格要求</w:t>
            </w:r>
            <w:r>
              <w:rPr>
                <w:rFonts w:hint="eastAsia" w:ascii="仿宋" w:hAnsi="仿宋" w:eastAsia="仿宋" w:cs="仿宋"/>
                <w:color w:val="auto"/>
              </w:rPr>
              <w:t>：见谈判文件第一章“采购公告/采购邀请书”</w:t>
            </w:r>
          </w:p>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Fonts w:hint="eastAsia" w:ascii="仿宋" w:hAnsi="仿宋" w:eastAsia="仿宋" w:cs="仿宋"/>
                <w:color w:val="auto"/>
              </w:rPr>
              <w:t>资格证明文件资料要求：</w:t>
            </w:r>
          </w:p>
          <w:tbl>
            <w:tblPr>
              <w:tblStyle w:val="20"/>
              <w:tblW w:w="7831"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86"/>
              <w:gridCol w:w="1292"/>
              <w:gridCol w:w="59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6"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jc w:val="center"/>
                    <w:rPr>
                      <w:rFonts w:hint="eastAsia" w:ascii="仿宋" w:hAnsi="仿宋" w:eastAsia="仿宋" w:cs="仿宋"/>
                      <w:b/>
                      <w:bCs/>
                      <w:color w:val="auto"/>
                    </w:rPr>
                  </w:pPr>
                  <w:r>
                    <w:rPr>
                      <w:rFonts w:hint="eastAsia" w:ascii="仿宋" w:hAnsi="仿宋" w:eastAsia="仿宋" w:cs="仿宋"/>
                      <w:b/>
                      <w:bCs/>
                      <w:color w:val="auto"/>
                      <w:lang w:val="en-US" w:eastAsia="zh-CN"/>
                    </w:rPr>
                    <w:t>序号</w:t>
                  </w:r>
                </w:p>
              </w:tc>
              <w:tc>
                <w:tcPr>
                  <w:tcW w:w="1292"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jc w:val="center"/>
                    <w:rPr>
                      <w:rFonts w:hint="eastAsia" w:ascii="仿宋" w:hAnsi="仿宋" w:eastAsia="仿宋" w:cs="仿宋"/>
                      <w:b/>
                      <w:bCs/>
                      <w:color w:val="auto"/>
                    </w:rPr>
                  </w:pPr>
                  <w:r>
                    <w:rPr>
                      <w:rFonts w:hint="eastAsia" w:ascii="仿宋" w:hAnsi="仿宋" w:eastAsia="仿宋" w:cs="仿宋"/>
                      <w:b/>
                      <w:bCs/>
                      <w:color w:val="auto"/>
                      <w:lang w:val="en-US" w:eastAsia="zh-CN"/>
                    </w:rPr>
                    <w:t>资格审查要求概况</w:t>
                  </w:r>
                </w:p>
              </w:tc>
              <w:tc>
                <w:tcPr>
                  <w:tcW w:w="5953"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jc w:val="center"/>
                    <w:rPr>
                      <w:rFonts w:hint="eastAsia" w:ascii="仿宋" w:hAnsi="仿宋" w:eastAsia="仿宋" w:cs="仿宋"/>
                      <w:b/>
                      <w:bCs/>
                      <w:color w:val="auto"/>
                    </w:rPr>
                  </w:pPr>
                  <w:r>
                    <w:rPr>
                      <w:rFonts w:hint="eastAsia" w:ascii="仿宋" w:hAnsi="仿宋" w:eastAsia="仿宋" w:cs="仿宋"/>
                      <w:b/>
                      <w:bCs/>
                      <w:color w:val="auto"/>
                      <w:lang w:val="en-US" w:eastAsia="zh-CN"/>
                    </w:rPr>
                    <w:t>评审点具体描述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6"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1</w:t>
                  </w:r>
                </w:p>
              </w:tc>
              <w:tc>
                <w:tcPr>
                  <w:tcW w:w="1292"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谈判响应声明</w:t>
                  </w:r>
                </w:p>
              </w:tc>
              <w:tc>
                <w:tcPr>
                  <w:tcW w:w="5953"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详见声明函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6"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2</w:t>
                  </w:r>
                </w:p>
              </w:tc>
              <w:tc>
                <w:tcPr>
                  <w:tcW w:w="1292"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单位负责人授权书</w:t>
                  </w:r>
                </w:p>
              </w:tc>
              <w:tc>
                <w:tcPr>
                  <w:tcW w:w="5953"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①供应商（自然人除外）：若供应商代表为单位授权的委托代理人，应提供本授权书；若供应商代表为单位负责人，应在此项下提交其身份证正反面复印件，可不提供本授权书。②供应商为自然人的，可不填写本授权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6"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3</w:t>
                  </w:r>
                </w:p>
              </w:tc>
              <w:tc>
                <w:tcPr>
                  <w:tcW w:w="1292"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营业执照等证明文件</w:t>
                  </w:r>
                </w:p>
              </w:tc>
              <w:tc>
                <w:tcPr>
                  <w:tcW w:w="5953"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①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6"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4</w:t>
                  </w:r>
                </w:p>
              </w:tc>
              <w:tc>
                <w:tcPr>
                  <w:tcW w:w="1292"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提供财务状况报告（财务报告、或资信证明）</w:t>
                  </w:r>
                </w:p>
              </w:tc>
              <w:tc>
                <w:tcPr>
                  <w:tcW w:w="5953"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①供应商提供的财务报告复印件（成立年限按照提交响应文件截止时间推算）应符合下列规定：a.成立年限满1年及以上的供应商，提供经审计的上一年度的年度财务报告。b.成立年限满半年但不足1年的供应商，提供该半年度中任一季度的季度财务报告或该半年度的半年度财务报告。c.无法按照以上a、b项规定提供财务报告复印件的供应商（包括但不限于：成立年限满1年及以上的供应商、成立年限满半年但不足1年的供应商、成立年限不足半年的供应商），应选择提供资信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6"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5</w:t>
                  </w:r>
                </w:p>
              </w:tc>
              <w:tc>
                <w:tcPr>
                  <w:tcW w:w="1292"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依法缴纳税收证明材料</w:t>
                  </w:r>
                </w:p>
              </w:tc>
              <w:tc>
                <w:tcPr>
                  <w:tcW w:w="5953"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①供应商提供的税收缴纳凭据复印件应符合下列规定： a.提交响应文件截止时间前（不含提交响应文件截止时间的当月）已依法缴纳税收的供应商，提供提交响应文件截止时间前六个月（不含提交响应文件截止时间的当月）中任一月份的税收缴纳凭据复印件。 b.提交响应文件截止时间的当月成立的供应商,视同满足本项资格条件要求。 c.若为依法免税范围的供应商，提供依法免税证明材料的，视同满足本项资格条件要求。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6"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6</w:t>
                  </w:r>
                </w:p>
              </w:tc>
              <w:tc>
                <w:tcPr>
                  <w:tcW w:w="1292"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依法缴纳社会保障资金证明材料</w:t>
                  </w:r>
                </w:p>
              </w:tc>
              <w:tc>
                <w:tcPr>
                  <w:tcW w:w="5953"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①供应商提供的社会保障资金缴纳凭据复印件应符合下列规定： a.提交响应文件截止时间前（不含提交响应文件截止时间的当月）已依法缴纳社会保障资金的供应商，提供提交响应文件截止时间前六个月（不含提交响应文件截止时间的当月）中任一月份的社会保障资金缴纳凭据复印件。 b.提交响应文件截止时间的当月成立的供应商，视同满足本项资格条件要求。 c.若为依法不需要缴纳或暂缓缴纳社会保障资金的供应商，提供依法不需要缴纳或暂缓缴纳社会保障资金证明材料的，视同满足本项资格条件要求。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6"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7</w:t>
                  </w:r>
                </w:p>
              </w:tc>
              <w:tc>
                <w:tcPr>
                  <w:tcW w:w="1292"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具备履行合同所必需设备和专业技术能力的声明函(若有)</w:t>
                  </w:r>
                </w:p>
              </w:tc>
              <w:tc>
                <w:tcPr>
                  <w:tcW w:w="5953"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①采购文件未要求供应商提供“具备履行合同所必需的设备和专业技术能力专项证明材料”的，供应商应提供本声明函。②采购文件要求供应商提供“具备履行合同所必需的设备和专业技术能力专项证明材料”的，供应商可不提供本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6"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8</w:t>
                  </w:r>
                </w:p>
              </w:tc>
              <w:tc>
                <w:tcPr>
                  <w:tcW w:w="1292"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参加采购活动前三年内在经营活动中没有重大违法记录的声明</w:t>
                  </w:r>
                </w:p>
              </w:tc>
              <w:tc>
                <w:tcPr>
                  <w:tcW w:w="5953"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①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6"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9</w:t>
                  </w:r>
                </w:p>
              </w:tc>
              <w:tc>
                <w:tcPr>
                  <w:tcW w:w="1292"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中小企业声明函（以资格条件落实中小企业扶持政策时适用 ）</w:t>
                  </w:r>
                </w:p>
              </w:tc>
              <w:tc>
                <w:tcPr>
                  <w:tcW w:w="5953"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①供应商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②供应商为监狱企业的，可不填写本声明函，根据其提供的由省级以上监狱管理局、戒毒管理局（含新疆生产建设兵团）出具的属于监狱企业的证明文件进行认定，监狱企业视同小型、微型企业。③供应商为残疾人福利性单位的，可不填写本声明函，根据其提供的《残疾人福利性单位声明函》进行认定，残疾人福利性单位视同小型、微型企业。④以联合体形式落实中小企业预留份额时，还需提供《联合体协议》。⑤以合同分包形式落实中小企业预留份额时，还需提供《分包意向协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6"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10</w:t>
                  </w:r>
                </w:p>
              </w:tc>
              <w:tc>
                <w:tcPr>
                  <w:tcW w:w="1292"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信用记录查询结果</w:t>
                  </w:r>
                </w:p>
              </w:tc>
              <w:tc>
                <w:tcPr>
                  <w:tcW w:w="5953"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①信用记录查询的截止时点：信用记录查询的截止时点为本项目提交响应文件截止当日。②信用记录查询渠道：信用中国（www.creditchina.gov.cn）、中国政府采购网（www.ccgp.gov.cn）。③信用记录的查询：由谈判小组通过上述网站查询并打印供应商的信用记录。④经查询，供应商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86"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11</w:t>
                  </w:r>
                </w:p>
              </w:tc>
              <w:tc>
                <w:tcPr>
                  <w:tcW w:w="1292"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联合体协议（若有）</w:t>
                  </w:r>
                </w:p>
              </w:tc>
              <w:tc>
                <w:tcPr>
                  <w:tcW w:w="5953" w:type="dxa"/>
                  <w:tcBorders>
                    <w:top w:val="single" w:color="000000" w:sz="6" w:space="0"/>
                    <w:left w:val="single" w:color="000000" w:sz="6" w:space="0"/>
                    <w:bottom w:val="single" w:color="000000" w:sz="6" w:space="0"/>
                    <w:right w:val="single" w:color="000000" w:sz="6" w:space="0"/>
                  </w:tcBorders>
                  <w:noWrap w:val="0"/>
                  <w:tcMar>
                    <w:left w:w="120" w:type="dxa"/>
                    <w:right w:w="120" w:type="dxa"/>
                  </w:tcMar>
                  <w:vAlign w:val="center"/>
                </w:tcPr>
                <w:p>
                  <w:pPr>
                    <w:spacing w:line="240" w:lineRule="auto"/>
                    <w:rPr>
                      <w:rFonts w:hint="eastAsia" w:ascii="仿宋" w:hAnsi="仿宋" w:eastAsia="仿宋" w:cs="仿宋"/>
                      <w:color w:val="auto"/>
                    </w:rPr>
                  </w:pPr>
                  <w:r>
                    <w:rPr>
                      <w:rFonts w:hint="eastAsia" w:ascii="仿宋" w:hAnsi="仿宋" w:eastAsia="仿宋" w:cs="仿宋"/>
                      <w:color w:val="auto"/>
                      <w:lang w:val="en-US" w:eastAsia="zh-CN"/>
                    </w:rPr>
                    <w:t>①采购文件接受联合体报价且供应商为联合体的，供应商应提供本协议；否则无须提供。②本协议由委托代理人签字或盖章的，应按照采购文件第五章载明的格式提供“单位负责人授权书”。</w:t>
                  </w:r>
                </w:p>
              </w:tc>
            </w:tr>
          </w:tbl>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ind w:firstLine="480" w:firstLineChars="200"/>
              <w:jc w:val="both"/>
              <w:textAlignment w:val="auto"/>
              <w:rPr>
                <w:rFonts w:ascii="仿宋" w:hAnsi="仿宋" w:eastAsia="仿宋" w:cs="仿宋"/>
                <w:color w:val="auto"/>
              </w:rPr>
            </w:pPr>
            <w:r>
              <w:rPr>
                <w:rFonts w:hint="eastAsia" w:ascii="仿宋" w:hAnsi="仿宋" w:eastAsia="仿宋" w:cs="仿宋"/>
                <w:color w:val="auto"/>
              </w:rPr>
              <w:t>谈判文件第五章对法定资格条件证明资料已有详细规定和要求，供应商按照第五章要求提供。确因国家政府采购新政策规定或项目特点不能适用的或者需要补充增加的，则在特定资格条件中提出具体要求，但不得违反政府采购法律法规。</w:t>
            </w:r>
          </w:p>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b/>
                <w:bCs/>
                <w:color w:val="auto"/>
              </w:rPr>
            </w:pPr>
            <w:r>
              <w:rPr>
                <w:rFonts w:hint="eastAsia" w:ascii="仿宋" w:hAnsi="仿宋" w:eastAsia="仿宋" w:cs="仿宋"/>
                <w:b/>
                <w:bCs/>
                <w:color w:val="auto"/>
              </w:rPr>
              <w:t>特定资格条件：</w:t>
            </w:r>
          </w:p>
          <w:tbl>
            <w:tblPr>
              <w:tblStyle w:val="20"/>
              <w:tblW w:w="7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6"/>
              <w:gridCol w:w="4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3036" w:type="dxa"/>
                </w:tcPr>
                <w:p>
                  <w:pPr>
                    <w:pStyle w:val="17"/>
                    <w:keepNext w:val="0"/>
                    <w:keepLines w:val="0"/>
                    <w:pageBreakBefore w:val="0"/>
                    <w:kinsoku/>
                    <w:wordWrap/>
                    <w:overflowPunct/>
                    <w:topLinePunct w:val="0"/>
                    <w:autoSpaceDE/>
                    <w:autoSpaceDN/>
                    <w:bidi w:val="0"/>
                    <w:adjustRightInd/>
                    <w:snapToGrid/>
                    <w:spacing w:line="240" w:lineRule="auto"/>
                    <w:jc w:val="center"/>
                    <w:textAlignment w:val="auto"/>
                    <w:rPr>
                      <w:rFonts w:ascii="仿宋" w:hAnsi="仿宋" w:eastAsia="仿宋" w:cs="仿宋"/>
                      <w:b/>
                      <w:color w:val="auto"/>
                      <w:sz w:val="21"/>
                      <w:szCs w:val="21"/>
                    </w:rPr>
                  </w:pPr>
                  <w:r>
                    <w:rPr>
                      <w:rFonts w:hint="eastAsia" w:ascii="仿宋" w:hAnsi="仿宋" w:eastAsia="仿宋" w:cs="仿宋"/>
                      <w:b/>
                      <w:color w:val="auto"/>
                      <w:sz w:val="21"/>
                      <w:szCs w:val="21"/>
                    </w:rPr>
                    <w:t>明细</w:t>
                  </w:r>
                </w:p>
              </w:tc>
              <w:tc>
                <w:tcPr>
                  <w:tcW w:w="4812" w:type="dxa"/>
                </w:tcPr>
                <w:p>
                  <w:pPr>
                    <w:pStyle w:val="17"/>
                    <w:keepNext w:val="0"/>
                    <w:keepLines w:val="0"/>
                    <w:pageBreakBefore w:val="0"/>
                    <w:kinsoku/>
                    <w:wordWrap/>
                    <w:overflowPunct/>
                    <w:topLinePunct w:val="0"/>
                    <w:autoSpaceDE/>
                    <w:autoSpaceDN/>
                    <w:bidi w:val="0"/>
                    <w:adjustRightInd/>
                    <w:snapToGrid/>
                    <w:spacing w:line="240" w:lineRule="auto"/>
                    <w:jc w:val="center"/>
                    <w:textAlignment w:val="auto"/>
                    <w:rPr>
                      <w:rFonts w:ascii="仿宋" w:hAnsi="仿宋" w:eastAsia="仿宋" w:cs="仿宋"/>
                      <w:b/>
                      <w:color w:val="auto"/>
                      <w:sz w:val="21"/>
                      <w:szCs w:val="21"/>
                    </w:rPr>
                  </w:pPr>
                  <w:r>
                    <w:rPr>
                      <w:rFonts w:hint="eastAsia" w:ascii="仿宋" w:hAnsi="仿宋" w:eastAsia="仿宋" w:cs="仿宋"/>
                      <w:b/>
                      <w:color w:val="auto"/>
                      <w:sz w:val="21"/>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3036" w:type="dxa"/>
                  <w:vAlign w:val="center"/>
                </w:tcPr>
                <w:p>
                  <w:pPr>
                    <w:widowControl/>
                    <w:spacing w:line="240" w:lineRule="auto"/>
                    <w:jc w:val="both"/>
                    <w:rPr>
                      <w:rFonts w:ascii="仿宋" w:hAnsi="仿宋" w:eastAsia="仿宋" w:cs="仿宋"/>
                      <w:b w:val="0"/>
                      <w:bCs/>
                      <w:color w:val="auto"/>
                      <w:sz w:val="21"/>
                      <w:szCs w:val="21"/>
                    </w:rPr>
                  </w:pPr>
                  <w:r>
                    <w:rPr>
                      <w:rFonts w:hint="eastAsia" w:ascii="仿宋" w:hAnsi="仿宋" w:eastAsia="仿宋" w:cs="宋体"/>
                      <w:color w:val="auto"/>
                      <w:kern w:val="0"/>
                      <w:sz w:val="21"/>
                      <w:szCs w:val="21"/>
                    </w:rPr>
                    <w:t>落实政府采购政策的证明材料（专门面向中小企业采购）</w:t>
                  </w:r>
                </w:p>
              </w:tc>
              <w:tc>
                <w:tcPr>
                  <w:tcW w:w="4812" w:type="dxa"/>
                  <w:vAlign w:val="center"/>
                </w:tcPr>
                <w:p>
                  <w:pPr>
                    <w:widowControl/>
                    <w:spacing w:line="240" w:lineRule="auto"/>
                    <w:ind w:right="-101" w:rightChars="-48"/>
                    <w:jc w:val="both"/>
                    <w:rPr>
                      <w:rFonts w:ascii="仿宋" w:hAnsi="仿宋" w:eastAsia="仿宋" w:cs="仿宋"/>
                      <w:b w:val="0"/>
                      <w:bCs/>
                      <w:color w:val="auto"/>
                      <w:sz w:val="21"/>
                      <w:szCs w:val="21"/>
                    </w:rPr>
                  </w:pPr>
                  <w:r>
                    <w:rPr>
                      <w:rFonts w:ascii="仿宋" w:hAnsi="仿宋" w:eastAsia="仿宋" w:cs="仿宋"/>
                      <w:b w:val="0"/>
                      <w:bCs/>
                      <w:color w:val="auto"/>
                      <w:sz w:val="21"/>
                      <w:szCs w:val="21"/>
                    </w:rPr>
                    <w:t>本采购包为专门面向中小企业采购，投标人须提供中小企业声明函。监狱企业、残疾人福利性单位视同小型、微型企业。</w:t>
                  </w:r>
                </w:p>
              </w:tc>
            </w:tr>
          </w:tbl>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Style w:val="23"/>
                <w:rFonts w:hint="eastAsia" w:ascii="仿宋" w:hAnsi="仿宋" w:eastAsia="仿宋" w:cs="仿宋"/>
                <w:color w:val="auto"/>
                <w:shd w:val="clear" w:color="auto" w:fill="FFFFFF"/>
              </w:rPr>
            </w:pPr>
            <w:r>
              <w:rPr>
                <w:rStyle w:val="23"/>
                <w:rFonts w:hint="eastAsia" w:ascii="仿宋" w:hAnsi="仿宋" w:eastAsia="仿宋" w:cs="仿宋"/>
                <w:color w:val="auto"/>
                <w:shd w:val="clear" w:color="auto" w:fill="FFFFFF"/>
              </w:rPr>
              <w:t>包1</w:t>
            </w:r>
          </w:p>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eastAsia" w:ascii="仿宋" w:hAnsi="仿宋" w:eastAsia="仿宋" w:cs="仿宋"/>
                <w:color w:val="auto"/>
              </w:rPr>
            </w:pPr>
            <w:r>
              <w:rPr>
                <w:rFonts w:hint="eastAsia" w:ascii="仿宋" w:hAnsi="仿宋" w:eastAsia="仿宋" w:cs="仿宋"/>
                <w:color w:val="auto"/>
              </w:rPr>
              <w:t>（3）谈判保证金</w:t>
            </w:r>
          </w:p>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eastAsia" w:ascii="仿宋" w:hAnsi="仿宋" w:eastAsia="仿宋" w:cs="仿宋"/>
                <w:color w:val="auto"/>
              </w:rPr>
            </w:pPr>
            <w:r>
              <w:rPr>
                <w:rFonts w:hint="eastAsia" w:ascii="仿宋" w:hAnsi="仿宋" w:eastAsia="仿宋" w:cs="仿宋"/>
                <w:color w:val="auto"/>
              </w:rPr>
              <w:t>※备注说明</w:t>
            </w:r>
          </w:p>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hint="eastAsia" w:ascii="仿宋" w:hAnsi="仿宋" w:eastAsia="仿宋" w:cs="仿宋"/>
                <w:color w:val="auto"/>
              </w:rPr>
            </w:pPr>
            <w:r>
              <w:rPr>
                <w:rFonts w:hint="eastAsia" w:ascii="仿宋" w:hAnsi="仿宋" w:eastAsia="仿宋" w:cs="仿宋"/>
                <w:color w:val="auto"/>
              </w:rPr>
              <w:t>①供应商应根据自身实际情况提供上述资格要求的证明材料，格式可参考谈判文件第五章提供。</w:t>
            </w:r>
          </w:p>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sz w:val="24"/>
              </w:rPr>
            </w:pPr>
            <w:r>
              <w:rPr>
                <w:rFonts w:hint="eastAsia" w:ascii="仿宋" w:hAnsi="仿宋" w:eastAsia="仿宋" w:cs="仿宋"/>
                <w:color w:val="auto"/>
              </w:rPr>
              <w:t>②供应商提供的相应证明材料复印件均应符合：内容完整、清晰、整洁，并由供应商加盖其单位公章。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jc w:val="center"/>
        </w:trPr>
        <w:tc>
          <w:tcPr>
            <w:tcW w:w="53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auto"/>
              </w:rPr>
            </w:pPr>
            <w:r>
              <w:rPr>
                <w:rFonts w:hint="eastAsia" w:ascii="仿宋" w:hAnsi="仿宋" w:eastAsia="仿宋" w:cs="仿宋"/>
                <w:color w:val="auto"/>
              </w:rPr>
              <w:t>2</w:t>
            </w:r>
          </w:p>
        </w:tc>
        <w:tc>
          <w:tcPr>
            <w:tcW w:w="103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Fonts w:hint="eastAsia" w:ascii="仿宋" w:hAnsi="仿宋" w:eastAsia="仿宋" w:cs="仿宋"/>
                <w:color w:val="auto"/>
              </w:rPr>
              <w:t>3.2.2</w:t>
            </w:r>
          </w:p>
        </w:tc>
        <w:tc>
          <w:tcPr>
            <w:tcW w:w="80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Style w:val="23"/>
                <w:rFonts w:hint="eastAsia" w:ascii="仿宋" w:hAnsi="仿宋" w:eastAsia="仿宋" w:cs="仿宋"/>
                <w:color w:val="auto"/>
              </w:rPr>
              <w:t>是否接受联合体形式的响应谈判：</w:t>
            </w:r>
            <w:r>
              <w:rPr>
                <w:rFonts w:hint="eastAsia" w:ascii="仿宋" w:hAnsi="仿宋" w:eastAsia="仿宋" w:cs="仿宋"/>
                <w:color w:val="auto"/>
              </w:rPr>
              <w:t>不接受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19" w:hRule="atLeast"/>
          <w:tblCellSpacing w:w="15" w:type="dxa"/>
          <w:jc w:val="center"/>
        </w:trPr>
        <w:tc>
          <w:tcPr>
            <w:tcW w:w="53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auto"/>
              </w:rPr>
            </w:pPr>
            <w:r>
              <w:rPr>
                <w:rFonts w:hint="eastAsia" w:ascii="仿宋" w:hAnsi="仿宋" w:eastAsia="仿宋" w:cs="仿宋"/>
                <w:color w:val="auto"/>
              </w:rPr>
              <w:t>3</w:t>
            </w:r>
          </w:p>
        </w:tc>
        <w:tc>
          <w:tcPr>
            <w:tcW w:w="103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Fonts w:hint="eastAsia" w:ascii="仿宋" w:hAnsi="仿宋" w:eastAsia="仿宋" w:cs="仿宋"/>
                <w:color w:val="auto"/>
              </w:rPr>
              <w:t>9.1</w:t>
            </w:r>
          </w:p>
        </w:tc>
        <w:tc>
          <w:tcPr>
            <w:tcW w:w="80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Style w:val="23"/>
                <w:rFonts w:hint="eastAsia" w:ascii="仿宋" w:hAnsi="仿宋" w:eastAsia="仿宋" w:cs="仿宋"/>
                <w:color w:val="auto"/>
              </w:rPr>
              <w:t>响应文件有效期：</w:t>
            </w:r>
            <w:r>
              <w:rPr>
                <w:rFonts w:hint="eastAsia" w:ascii="仿宋" w:hAnsi="仿宋" w:eastAsia="仿宋" w:cs="仿宋"/>
                <w:color w:val="auto"/>
              </w:rPr>
              <w:t>首次响应文件提交截止时间起90个日历日。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jc w:val="center"/>
        </w:trPr>
        <w:tc>
          <w:tcPr>
            <w:tcW w:w="53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auto"/>
              </w:rPr>
            </w:pPr>
            <w:r>
              <w:rPr>
                <w:rFonts w:hint="eastAsia" w:ascii="仿宋" w:hAnsi="仿宋" w:eastAsia="仿宋" w:cs="仿宋"/>
                <w:color w:val="auto"/>
              </w:rPr>
              <w:t>4</w:t>
            </w:r>
          </w:p>
        </w:tc>
        <w:tc>
          <w:tcPr>
            <w:tcW w:w="103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Fonts w:hint="eastAsia" w:ascii="仿宋" w:hAnsi="仿宋" w:eastAsia="仿宋" w:cs="仿宋"/>
                <w:color w:val="auto"/>
              </w:rPr>
              <w:t>10.1</w:t>
            </w:r>
          </w:p>
        </w:tc>
        <w:tc>
          <w:tcPr>
            <w:tcW w:w="80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textAlignment w:val="auto"/>
              <w:rPr>
                <w:rFonts w:ascii="仿宋" w:hAnsi="仿宋" w:eastAsia="仿宋" w:cs="仿宋"/>
                <w:color w:val="auto"/>
              </w:rPr>
            </w:pPr>
            <w:r>
              <w:rPr>
                <w:rStyle w:val="23"/>
                <w:rFonts w:hint="eastAsia" w:ascii="仿宋" w:hAnsi="仿宋" w:eastAsia="仿宋" w:cs="仿宋"/>
                <w:color w:val="auto"/>
              </w:rPr>
              <w:t>提交谈判保证金：</w:t>
            </w:r>
            <w:r>
              <w:rPr>
                <w:rStyle w:val="23"/>
                <w:rFonts w:hint="eastAsia" w:ascii="仿宋" w:hAnsi="仿宋" w:eastAsia="仿宋" w:cs="仿宋"/>
                <w:b w:val="0"/>
                <w:color w:val="auto"/>
              </w:rPr>
              <w:t>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jc w:val="center"/>
        </w:trPr>
        <w:tc>
          <w:tcPr>
            <w:tcW w:w="53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auto"/>
              </w:rPr>
            </w:pPr>
            <w:r>
              <w:rPr>
                <w:rFonts w:hint="eastAsia" w:ascii="仿宋" w:hAnsi="仿宋" w:eastAsia="仿宋" w:cs="仿宋"/>
                <w:color w:val="auto"/>
              </w:rPr>
              <w:t>5</w:t>
            </w:r>
          </w:p>
        </w:tc>
        <w:tc>
          <w:tcPr>
            <w:tcW w:w="103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Fonts w:hint="eastAsia" w:ascii="仿宋" w:hAnsi="仿宋" w:eastAsia="仿宋" w:cs="仿宋"/>
                <w:color w:val="auto"/>
              </w:rPr>
              <w:t>10.3.1</w:t>
            </w:r>
          </w:p>
        </w:tc>
        <w:tc>
          <w:tcPr>
            <w:tcW w:w="80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Style w:val="23"/>
                <w:rFonts w:hint="eastAsia" w:ascii="仿宋" w:hAnsi="仿宋" w:eastAsia="仿宋" w:cs="仿宋"/>
                <w:color w:val="auto"/>
              </w:rPr>
              <w:t>谈判保证金退还的其它要求：</w:t>
            </w:r>
            <w:r>
              <w:rPr>
                <w:rFonts w:hint="eastAsia" w:ascii="仿宋" w:hAnsi="仿宋" w:eastAsia="仿宋" w:cs="仿宋"/>
                <w:color w:val="auto"/>
              </w:rPr>
              <w:t>无。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jc w:val="center"/>
        </w:trPr>
        <w:tc>
          <w:tcPr>
            <w:tcW w:w="53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auto"/>
              </w:rPr>
            </w:pPr>
            <w:r>
              <w:rPr>
                <w:rFonts w:hint="eastAsia" w:ascii="仿宋" w:hAnsi="仿宋" w:eastAsia="仿宋" w:cs="仿宋"/>
                <w:color w:val="auto"/>
              </w:rPr>
              <w:t>6</w:t>
            </w:r>
          </w:p>
        </w:tc>
        <w:tc>
          <w:tcPr>
            <w:tcW w:w="103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Fonts w:hint="eastAsia" w:ascii="仿宋" w:hAnsi="仿宋" w:eastAsia="仿宋" w:cs="仿宋"/>
                <w:color w:val="auto"/>
              </w:rPr>
              <w:t>11.1</w:t>
            </w:r>
          </w:p>
        </w:tc>
        <w:tc>
          <w:tcPr>
            <w:tcW w:w="80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Style w:val="23"/>
                <w:rFonts w:ascii="仿宋" w:hAnsi="仿宋" w:eastAsia="仿宋" w:cs="仿宋"/>
                <w:color w:val="auto"/>
              </w:rPr>
            </w:pPr>
            <w:r>
              <w:rPr>
                <w:rStyle w:val="23"/>
                <w:rFonts w:hint="eastAsia" w:ascii="仿宋" w:hAnsi="仿宋" w:eastAsia="仿宋" w:cs="仿宋"/>
                <w:color w:val="auto"/>
              </w:rPr>
              <w:t>响应文件的份数</w:t>
            </w:r>
          </w:p>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Fonts w:hint="eastAsia" w:ascii="仿宋" w:hAnsi="仿宋" w:eastAsia="仿宋" w:cs="仿宋"/>
                <w:color w:val="auto"/>
              </w:rPr>
              <w:t>（1）纸质响应文件 </w:t>
            </w:r>
          </w:p>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ind w:firstLine="240" w:firstLineChars="100"/>
              <w:jc w:val="both"/>
              <w:textAlignment w:val="auto"/>
              <w:rPr>
                <w:rFonts w:ascii="仿宋" w:hAnsi="仿宋" w:eastAsia="仿宋" w:cs="仿宋"/>
                <w:color w:val="auto"/>
              </w:rPr>
            </w:pPr>
            <w:r>
              <w:rPr>
                <w:rFonts w:hint="eastAsia" w:ascii="仿宋" w:hAnsi="仿宋" w:eastAsia="仿宋" w:cs="仿宋"/>
                <w:color w:val="auto"/>
              </w:rPr>
              <w:t>①响应文件正本</w:t>
            </w:r>
            <w:r>
              <w:rPr>
                <w:rFonts w:hint="eastAsia" w:ascii="仿宋" w:hAnsi="仿宋" w:eastAsia="仿宋" w:cs="仿宋"/>
                <w:color w:val="auto"/>
                <w:u w:val="single"/>
              </w:rPr>
              <w:t>1</w:t>
            </w:r>
            <w:r>
              <w:rPr>
                <w:rFonts w:hint="eastAsia" w:ascii="仿宋" w:hAnsi="仿宋" w:eastAsia="仿宋" w:cs="仿宋"/>
                <w:color w:val="auto"/>
              </w:rPr>
              <w:t>份、副本</w:t>
            </w:r>
            <w:r>
              <w:rPr>
                <w:rFonts w:hint="eastAsia" w:ascii="仿宋" w:hAnsi="仿宋" w:eastAsia="仿宋" w:cs="仿宋"/>
                <w:color w:val="auto"/>
                <w:u w:val="single"/>
              </w:rPr>
              <w:t>2</w:t>
            </w:r>
            <w:r>
              <w:rPr>
                <w:rFonts w:hint="eastAsia" w:ascii="仿宋" w:hAnsi="仿宋" w:eastAsia="仿宋" w:cs="仿宋"/>
                <w:color w:val="auto"/>
              </w:rPr>
              <w:t>份。</w:t>
            </w:r>
          </w:p>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ind w:firstLine="240" w:firstLineChars="100"/>
              <w:jc w:val="both"/>
              <w:textAlignment w:val="auto"/>
              <w:rPr>
                <w:rFonts w:ascii="仿宋" w:hAnsi="仿宋" w:eastAsia="仿宋" w:cs="仿宋"/>
                <w:color w:val="auto"/>
              </w:rPr>
            </w:pPr>
            <w:r>
              <w:rPr>
                <w:rFonts w:hint="eastAsia" w:ascii="仿宋" w:hAnsi="仿宋" w:eastAsia="仿宋" w:cs="仿宋"/>
                <w:color w:val="auto"/>
              </w:rPr>
              <w:t>②可读介质（光盘或U盘）</w:t>
            </w:r>
            <w:r>
              <w:rPr>
                <w:rFonts w:hint="eastAsia" w:ascii="仿宋" w:hAnsi="仿宋" w:eastAsia="仿宋" w:cs="仿宋"/>
                <w:color w:val="auto"/>
                <w:u w:val="single"/>
              </w:rPr>
              <w:t>1</w:t>
            </w:r>
            <w:r>
              <w:rPr>
                <w:rFonts w:hint="eastAsia" w:ascii="仿宋" w:hAnsi="仿宋" w:eastAsia="仿宋" w:cs="仿宋"/>
                <w:color w:val="auto"/>
              </w:rPr>
              <w:t>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jc w:val="center"/>
        </w:trPr>
        <w:tc>
          <w:tcPr>
            <w:tcW w:w="53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auto"/>
              </w:rPr>
            </w:pPr>
            <w:r>
              <w:rPr>
                <w:rFonts w:hint="eastAsia" w:ascii="仿宋" w:hAnsi="仿宋" w:eastAsia="仿宋" w:cs="仿宋"/>
                <w:color w:val="auto"/>
              </w:rPr>
              <w:t>7</w:t>
            </w:r>
          </w:p>
        </w:tc>
        <w:tc>
          <w:tcPr>
            <w:tcW w:w="103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Fonts w:hint="eastAsia" w:ascii="仿宋" w:hAnsi="仿宋" w:eastAsia="仿宋" w:cs="仿宋"/>
                <w:color w:val="auto"/>
              </w:rPr>
              <w:t>12.1</w:t>
            </w:r>
          </w:p>
        </w:tc>
        <w:tc>
          <w:tcPr>
            <w:tcW w:w="80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b/>
                <w:color w:val="auto"/>
              </w:rPr>
            </w:pPr>
            <w:r>
              <w:rPr>
                <w:rFonts w:hint="eastAsia" w:ascii="仿宋" w:hAnsi="仿宋" w:eastAsia="仿宋" w:cs="仿宋"/>
                <w:b/>
                <w:color w:val="auto"/>
              </w:rPr>
              <w:t>密封及其标记的具体形式：</w:t>
            </w:r>
          </w:p>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sz w:val="21"/>
                <w:szCs w:val="21"/>
              </w:rPr>
            </w:pPr>
            <w:r>
              <w:rPr>
                <w:rFonts w:hint="eastAsia" w:ascii="仿宋" w:hAnsi="仿宋" w:eastAsia="仿宋" w:cs="仿宋"/>
                <w:color w:val="auto"/>
                <w:sz w:val="21"/>
                <w:szCs w:val="21"/>
              </w:rPr>
              <w:t>（1）</w:t>
            </w:r>
            <w:r>
              <w:rPr>
                <w:rFonts w:ascii="仿宋" w:hAnsi="仿宋" w:eastAsia="仿宋" w:cs="仿宋"/>
                <w:color w:val="auto"/>
                <w:sz w:val="21"/>
                <w:szCs w:val="21"/>
              </w:rPr>
              <w:t>全部投标响应文件（包括正本、副本及可读介质）应胶装成册并密封，否则投标将被拒绝。</w:t>
            </w:r>
          </w:p>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sz w:val="21"/>
                <w:szCs w:val="21"/>
              </w:rPr>
            </w:pPr>
            <w:r>
              <w:rPr>
                <w:rFonts w:hint="eastAsia" w:ascii="仿宋" w:hAnsi="仿宋" w:eastAsia="仿宋" w:cs="仿宋"/>
                <w:color w:val="auto"/>
                <w:sz w:val="21"/>
                <w:szCs w:val="21"/>
              </w:rPr>
              <w:t>（2）密封的外包装应至少标记“项目名称、招标编号、所投合同包、投标人的全称、（  ）部分”等内容，否则造成投标文件误投、遗漏或提前拆封的，</w:t>
            </w:r>
            <w:r>
              <w:rPr>
                <w:rFonts w:hint="eastAsia" w:ascii="仿宋" w:hAnsi="仿宋" w:eastAsia="仿宋" w:cs="仿宋"/>
                <w:color w:val="auto"/>
                <w:sz w:val="21"/>
                <w:szCs w:val="21"/>
                <w:u w:val="single"/>
              </w:rPr>
              <w:t>福建省维恒项目管理有限公司</w:t>
            </w:r>
            <w:r>
              <w:rPr>
                <w:rFonts w:hint="eastAsia" w:ascii="仿宋" w:hAnsi="仿宋" w:eastAsia="仿宋" w:cs="仿宋"/>
                <w:color w:val="auto"/>
                <w:sz w:val="21"/>
                <w:szCs w:val="21"/>
              </w:rPr>
              <w:t>不承担责任。</w:t>
            </w:r>
          </w:p>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Style w:val="23"/>
                <w:rFonts w:ascii="仿宋" w:hAnsi="仿宋" w:eastAsia="仿宋" w:cs="仿宋"/>
                <w:color w:val="auto"/>
              </w:rPr>
            </w:pPr>
            <w:r>
              <w:rPr>
                <w:rFonts w:hint="eastAsia" w:ascii="仿宋" w:hAnsi="仿宋" w:eastAsia="仿宋" w:cs="仿宋"/>
                <w:color w:val="auto"/>
                <w:sz w:val="21"/>
                <w:szCs w:val="21"/>
              </w:rPr>
              <w:t>（3）其他：全部投标文件必须用A4幅面纸张打印，副本可以用正本的完整复印件，并在封面标明“正本”、“副本”字样（并加盖投标人公章）。正本与副本如有不一致，则以正本为准。并按招标文件规定的相应位置签字加盖投标人公章和骑缝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jc w:val="center"/>
        </w:trPr>
        <w:tc>
          <w:tcPr>
            <w:tcW w:w="53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auto"/>
              </w:rPr>
            </w:pPr>
            <w:r>
              <w:rPr>
                <w:rFonts w:hint="eastAsia" w:ascii="仿宋" w:hAnsi="仿宋" w:eastAsia="仿宋" w:cs="仿宋"/>
                <w:color w:val="auto"/>
              </w:rPr>
              <w:t>8</w:t>
            </w:r>
          </w:p>
        </w:tc>
        <w:tc>
          <w:tcPr>
            <w:tcW w:w="103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Fonts w:hint="eastAsia" w:ascii="仿宋" w:hAnsi="仿宋" w:eastAsia="仿宋" w:cs="仿宋"/>
                <w:color w:val="auto"/>
              </w:rPr>
              <w:t>12.3</w:t>
            </w:r>
          </w:p>
        </w:tc>
        <w:tc>
          <w:tcPr>
            <w:tcW w:w="80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b/>
                <w:color w:val="auto"/>
              </w:rPr>
            </w:pPr>
            <w:r>
              <w:rPr>
                <w:rFonts w:hint="eastAsia" w:ascii="仿宋" w:hAnsi="仿宋" w:eastAsia="仿宋" w:cs="仿宋"/>
                <w:b/>
                <w:color w:val="auto"/>
              </w:rPr>
              <w:t>允许散装或活页装订的内容或材料：</w:t>
            </w:r>
          </w:p>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Fonts w:hint="eastAsia" w:ascii="仿宋" w:hAnsi="仿宋" w:eastAsia="仿宋" w:cs="仿宋"/>
                <w:color w:val="auto"/>
              </w:rPr>
              <w:t>（1）响应文件的补充、修改或撤回；</w:t>
            </w:r>
          </w:p>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Style w:val="23"/>
                <w:rFonts w:ascii="仿宋" w:hAnsi="仿宋" w:eastAsia="仿宋" w:cs="仿宋"/>
                <w:color w:val="auto"/>
              </w:rPr>
            </w:pPr>
            <w:r>
              <w:rPr>
                <w:rFonts w:hint="eastAsia" w:ascii="仿宋" w:hAnsi="仿宋" w:eastAsia="仿宋" w:cs="仿宋"/>
                <w:color w:val="auto"/>
              </w:rPr>
              <w:t>（2）其他内容或材料：无。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jc w:val="center"/>
        </w:trPr>
        <w:tc>
          <w:tcPr>
            <w:tcW w:w="53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auto"/>
              </w:rPr>
            </w:pPr>
            <w:r>
              <w:rPr>
                <w:rFonts w:hint="eastAsia" w:ascii="仿宋" w:hAnsi="仿宋" w:eastAsia="仿宋" w:cs="仿宋"/>
                <w:color w:val="auto"/>
              </w:rPr>
              <w:t>9</w:t>
            </w:r>
          </w:p>
        </w:tc>
        <w:tc>
          <w:tcPr>
            <w:tcW w:w="103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Fonts w:hint="eastAsia" w:ascii="仿宋" w:hAnsi="仿宋" w:eastAsia="仿宋" w:cs="仿宋"/>
                <w:color w:val="auto"/>
              </w:rPr>
              <w:t>14.4</w:t>
            </w:r>
          </w:p>
        </w:tc>
        <w:tc>
          <w:tcPr>
            <w:tcW w:w="80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Style w:val="23"/>
                <w:rFonts w:hint="eastAsia" w:ascii="仿宋" w:hAnsi="仿宋" w:eastAsia="仿宋" w:cs="仿宋"/>
                <w:color w:val="auto"/>
              </w:rPr>
              <w:t>谈判过程中可能发生实质性变动的内容：</w:t>
            </w:r>
            <w:r>
              <w:rPr>
                <w:rFonts w:hint="eastAsia" w:ascii="仿宋" w:hAnsi="仿宋" w:eastAsia="仿宋" w:cs="仿宋"/>
                <w:color w:val="auto"/>
              </w:rPr>
              <w:t>无。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jc w:val="center"/>
        </w:trPr>
        <w:tc>
          <w:tcPr>
            <w:tcW w:w="53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auto"/>
              </w:rPr>
            </w:pPr>
            <w:r>
              <w:rPr>
                <w:rFonts w:hint="eastAsia" w:ascii="仿宋" w:hAnsi="仿宋" w:eastAsia="仿宋" w:cs="仿宋"/>
                <w:color w:val="auto"/>
              </w:rPr>
              <w:t>10</w:t>
            </w:r>
          </w:p>
        </w:tc>
        <w:tc>
          <w:tcPr>
            <w:tcW w:w="103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Fonts w:hint="eastAsia" w:ascii="仿宋" w:hAnsi="仿宋" w:eastAsia="仿宋" w:cs="仿宋"/>
                <w:color w:val="auto"/>
              </w:rPr>
              <w:t>22.2</w:t>
            </w:r>
          </w:p>
        </w:tc>
        <w:tc>
          <w:tcPr>
            <w:tcW w:w="80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ascii="仿宋" w:hAnsi="仿宋" w:eastAsia="仿宋"/>
                <w:color w:val="auto"/>
                <w:sz w:val="24"/>
              </w:rPr>
            </w:pPr>
            <w:r>
              <w:rPr>
                <w:rFonts w:hint="eastAsia" w:ascii="仿宋" w:hAnsi="仿宋" w:eastAsia="仿宋"/>
                <w:color w:val="auto"/>
                <w:sz w:val="24"/>
              </w:rPr>
              <w:t>信息公告指定媒体（以下简称：“指定媒体”）：中国政府采购网（网址</w:t>
            </w:r>
            <w:r>
              <w:rPr>
                <w:color w:val="auto"/>
              </w:rPr>
              <w:fldChar w:fldCharType="begin"/>
            </w:r>
            <w:r>
              <w:rPr>
                <w:color w:val="auto"/>
              </w:rPr>
              <w:instrText xml:space="preserve"> HYPERLINK "http://www.ccgp.gov.cn/" </w:instrText>
            </w:r>
            <w:r>
              <w:rPr>
                <w:color w:val="auto"/>
              </w:rPr>
              <w:fldChar w:fldCharType="separate"/>
            </w:r>
            <w:r>
              <w:rPr>
                <w:rStyle w:val="26"/>
                <w:rFonts w:hint="eastAsia" w:ascii="仿宋" w:hAnsi="仿宋" w:eastAsia="仿宋"/>
                <w:color w:val="auto"/>
                <w:sz w:val="24"/>
              </w:rPr>
              <w:t>http://www.ccgp.gov.cn</w:t>
            </w:r>
            <w:r>
              <w:rPr>
                <w:rStyle w:val="26"/>
                <w:rFonts w:hint="eastAsia" w:ascii="仿宋" w:hAnsi="仿宋" w:eastAsia="仿宋"/>
                <w:color w:val="auto"/>
                <w:sz w:val="24"/>
              </w:rPr>
              <w:fldChar w:fldCharType="end"/>
            </w:r>
            <w:r>
              <w:rPr>
                <w:rFonts w:hint="eastAsia" w:ascii="仿宋" w:hAnsi="仿宋" w:eastAsia="仿宋"/>
                <w:color w:val="auto"/>
                <w:sz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jc w:val="center"/>
        </w:trPr>
        <w:tc>
          <w:tcPr>
            <w:tcW w:w="53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auto"/>
              </w:rPr>
            </w:pPr>
            <w:r>
              <w:rPr>
                <w:rFonts w:hint="eastAsia" w:ascii="仿宋" w:hAnsi="仿宋" w:eastAsia="仿宋" w:cs="仿宋"/>
                <w:color w:val="auto"/>
              </w:rPr>
              <w:t>11</w:t>
            </w:r>
          </w:p>
        </w:tc>
        <w:tc>
          <w:tcPr>
            <w:tcW w:w="103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Fonts w:hint="eastAsia" w:ascii="仿宋" w:hAnsi="仿宋" w:eastAsia="仿宋" w:cs="仿宋"/>
                <w:color w:val="auto"/>
              </w:rPr>
              <w:t>23.1</w:t>
            </w:r>
          </w:p>
        </w:tc>
        <w:tc>
          <w:tcPr>
            <w:tcW w:w="80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Style w:val="23"/>
                <w:rFonts w:hint="eastAsia" w:ascii="仿宋" w:hAnsi="仿宋" w:eastAsia="仿宋" w:cs="仿宋"/>
                <w:color w:val="auto"/>
              </w:rPr>
              <w:t>本项目监督管理部门：</w:t>
            </w:r>
            <w:r>
              <w:rPr>
                <w:rStyle w:val="23"/>
                <w:rFonts w:hint="eastAsia" w:ascii="仿宋" w:hAnsi="仿宋" w:eastAsia="仿宋" w:cs="仿宋"/>
                <w:color w:val="auto"/>
                <w:lang w:val="en-US" w:eastAsia="zh-CN"/>
              </w:rPr>
              <w:t>泉州师范学院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 w:hRule="atLeast"/>
          <w:tblCellSpacing w:w="15" w:type="dxa"/>
          <w:jc w:val="center"/>
        </w:trPr>
        <w:tc>
          <w:tcPr>
            <w:tcW w:w="53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rPr>
            </w:pPr>
            <w:r>
              <w:rPr>
                <w:rFonts w:hint="eastAsia" w:ascii="仿宋" w:hAnsi="仿宋" w:eastAsia="仿宋" w:cs="仿宋"/>
                <w:color w:val="auto"/>
                <w:kern w:val="0"/>
                <w:sz w:val="24"/>
              </w:rPr>
              <w:t>12</w:t>
            </w:r>
          </w:p>
        </w:tc>
        <w:tc>
          <w:tcPr>
            <w:tcW w:w="103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Fonts w:hint="eastAsia" w:ascii="仿宋" w:hAnsi="仿宋" w:eastAsia="仿宋" w:cs="仿宋"/>
                <w:color w:val="auto"/>
              </w:rPr>
              <w:t>2</w:t>
            </w:r>
            <w:r>
              <w:rPr>
                <w:rFonts w:hint="eastAsia" w:ascii="仿宋" w:hAnsi="仿宋" w:eastAsia="仿宋" w:cs="仿宋"/>
                <w:color w:val="auto"/>
                <w:lang w:val="en-US" w:eastAsia="zh-CN"/>
              </w:rPr>
              <w:t>5</w:t>
            </w:r>
            <w:r>
              <w:rPr>
                <w:rFonts w:hint="eastAsia" w:ascii="仿宋" w:hAnsi="仿宋" w:eastAsia="仿宋" w:cs="仿宋"/>
                <w:color w:val="auto"/>
              </w:rPr>
              <w:t>.1</w:t>
            </w:r>
          </w:p>
        </w:tc>
        <w:tc>
          <w:tcPr>
            <w:tcW w:w="80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cs="宋体"/>
                <w:color w:val="auto"/>
                <w:kern w:val="0"/>
              </w:rPr>
            </w:pPr>
            <w:r>
              <w:rPr>
                <w:rStyle w:val="23"/>
                <w:rFonts w:hint="eastAsia" w:ascii="仿宋" w:hAnsi="仿宋" w:eastAsia="仿宋" w:cs="仿宋"/>
                <w:color w:val="auto"/>
                <w:sz w:val="24"/>
              </w:rPr>
              <w:t>履约保证金：</w:t>
            </w:r>
            <w:r>
              <w:rPr>
                <w:rFonts w:hint="eastAsia" w:ascii="仿宋" w:hAnsi="仿宋" w:eastAsia="仿宋" w:cs="仿宋"/>
                <w:b/>
                <w:color w:val="auto"/>
                <w:kern w:val="0"/>
                <w:sz w:val="24"/>
                <w:lang w:eastAsia="zh-CN"/>
              </w:rPr>
              <w:t>是</w:t>
            </w:r>
            <w:r>
              <w:rPr>
                <w:rFonts w:hint="eastAsia" w:ascii="仿宋" w:hAnsi="仿宋" w:eastAsia="仿宋" w:cs="仿宋"/>
                <w:b/>
                <w:color w:val="auto"/>
                <w:kern w:val="0"/>
                <w:sz w:val="24"/>
              </w:rPr>
              <w:t>。</w:t>
            </w:r>
            <w:r>
              <w:rPr>
                <w:rFonts w:hint="eastAsia" w:ascii="仿宋" w:hAnsi="仿宋" w:eastAsia="仿宋" w:cs="仿宋"/>
                <w:b/>
                <w:color w:val="auto"/>
                <w:kern w:val="0"/>
                <w:sz w:val="24"/>
                <w:lang w:eastAsia="zh-CN"/>
              </w:rPr>
              <w:t>说明：</w:t>
            </w:r>
            <w:r>
              <w:rPr>
                <w:rFonts w:hint="eastAsia" w:ascii="仿宋" w:hAnsi="仿宋" w:eastAsia="仿宋" w:cs="仿宋"/>
                <w:b/>
                <w:color w:val="auto"/>
                <w:kern w:val="0"/>
                <w:sz w:val="24"/>
                <w:lang w:val="en-US" w:eastAsia="zh-CN"/>
              </w:rPr>
              <w:t>成交供应商在签订合同前应向采购人缴纳合同金额2%的履约保证金，该保证金在成交供应商供应的货物全部验收合格、合同约定事项全部履行完毕且无未了事项后，30日内一次性无息退还。履约保证金以支票、汇票、本票或者金融机构、担保机构出具的保函等非现金形式向采购人缴交。</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5" w:hRule="atLeast"/>
          <w:tblCellSpacing w:w="15" w:type="dxa"/>
          <w:jc w:val="center"/>
        </w:trPr>
        <w:tc>
          <w:tcPr>
            <w:tcW w:w="531"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center"/>
              <w:textAlignment w:val="auto"/>
              <w:rPr>
                <w:rFonts w:ascii="仿宋" w:hAnsi="仿宋" w:eastAsia="仿宋" w:cs="仿宋"/>
                <w:color w:val="auto"/>
              </w:rPr>
            </w:pPr>
            <w:r>
              <w:rPr>
                <w:rFonts w:hint="eastAsia" w:ascii="仿宋" w:hAnsi="仿宋" w:eastAsia="仿宋" w:cs="仿宋"/>
                <w:color w:val="auto"/>
              </w:rPr>
              <w:t>13</w:t>
            </w:r>
          </w:p>
        </w:tc>
        <w:tc>
          <w:tcPr>
            <w:tcW w:w="1034"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Fonts w:hint="eastAsia" w:ascii="仿宋" w:hAnsi="仿宋" w:eastAsia="仿宋" w:cs="仿宋"/>
                <w:color w:val="auto"/>
              </w:rPr>
              <w:t>25</w:t>
            </w:r>
          </w:p>
        </w:tc>
        <w:tc>
          <w:tcPr>
            <w:tcW w:w="80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17"/>
              <w:keepNext w:val="0"/>
              <w:keepLines w:val="0"/>
              <w:pageBreakBefore w:val="0"/>
              <w:widowControl/>
              <w:kinsoku/>
              <w:wordWrap/>
              <w:overflowPunct/>
              <w:topLinePunct w:val="0"/>
              <w:autoSpaceDE/>
              <w:autoSpaceDN/>
              <w:bidi w:val="0"/>
              <w:adjustRightInd/>
              <w:snapToGrid/>
              <w:spacing w:beforeAutospacing="0" w:afterAutospacing="0" w:line="240" w:lineRule="auto"/>
              <w:jc w:val="both"/>
              <w:textAlignment w:val="auto"/>
              <w:rPr>
                <w:rFonts w:ascii="仿宋" w:hAnsi="仿宋" w:eastAsia="仿宋" w:cs="仿宋"/>
                <w:color w:val="auto"/>
              </w:rPr>
            </w:pPr>
            <w:r>
              <w:rPr>
                <w:rStyle w:val="23"/>
                <w:rFonts w:hint="eastAsia" w:ascii="仿宋" w:hAnsi="仿宋" w:eastAsia="仿宋" w:cs="仿宋"/>
                <w:color w:val="auto"/>
              </w:rPr>
              <w:t>根据采购项目特点或政策需要补充的其他新增内容：</w:t>
            </w:r>
          </w:p>
          <w:p>
            <w:pPr>
              <w:pStyle w:val="17"/>
              <w:keepNext w:val="0"/>
              <w:keepLines w:val="0"/>
              <w:pageBreakBefore w:val="0"/>
              <w:widowControl/>
              <w:numPr>
                <w:ilvl w:val="0"/>
                <w:numId w:val="3"/>
              </w:numPr>
              <w:kinsoku/>
              <w:wordWrap/>
              <w:overflowPunct/>
              <w:topLinePunct w:val="0"/>
              <w:autoSpaceDE/>
              <w:autoSpaceDN/>
              <w:bidi w:val="0"/>
              <w:adjustRightInd/>
              <w:snapToGrid/>
              <w:spacing w:beforeAutospacing="0" w:afterAutospacing="0" w:line="240" w:lineRule="auto"/>
              <w:jc w:val="both"/>
              <w:textAlignment w:val="auto"/>
              <w:rPr>
                <w:rStyle w:val="23"/>
                <w:rFonts w:hint="eastAsia" w:ascii="仿宋" w:hAnsi="仿宋" w:eastAsia="仿宋" w:cs="仿宋"/>
                <w:b w:val="0"/>
                <w:bCs/>
                <w:color w:val="auto"/>
                <w:sz w:val="21"/>
                <w:szCs w:val="21"/>
              </w:rPr>
            </w:pPr>
            <w:r>
              <w:rPr>
                <w:rStyle w:val="23"/>
                <w:rFonts w:hint="eastAsia" w:ascii="仿宋" w:hAnsi="仿宋" w:eastAsia="仿宋" w:cs="仿宋"/>
                <w:b w:val="0"/>
                <w:bCs/>
                <w:color w:val="auto"/>
                <w:sz w:val="21"/>
                <w:szCs w:val="21"/>
              </w:rPr>
              <w:t>本项目代理服务费由</w:t>
            </w:r>
            <w:r>
              <w:rPr>
                <w:rStyle w:val="23"/>
                <w:rFonts w:hint="eastAsia" w:ascii="仿宋" w:hAnsi="仿宋" w:eastAsia="仿宋" w:cs="仿宋"/>
                <w:bCs/>
                <w:color w:val="auto"/>
                <w:sz w:val="21"/>
                <w:szCs w:val="21"/>
                <w:u w:val="single"/>
              </w:rPr>
              <w:t>成交供应商</w:t>
            </w:r>
            <w:r>
              <w:rPr>
                <w:rStyle w:val="23"/>
                <w:rFonts w:hint="eastAsia" w:ascii="仿宋" w:hAnsi="仿宋" w:eastAsia="仿宋" w:cs="仿宋"/>
                <w:b w:val="0"/>
                <w:bCs/>
                <w:color w:val="auto"/>
                <w:sz w:val="21"/>
                <w:szCs w:val="21"/>
              </w:rPr>
              <w:t>支付。</w:t>
            </w:r>
          </w:p>
          <w:p>
            <w:pPr>
              <w:pStyle w:val="17"/>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jc w:val="both"/>
              <w:textAlignment w:val="auto"/>
              <w:rPr>
                <w:rStyle w:val="23"/>
                <w:rFonts w:hint="eastAsia" w:ascii="仿宋" w:hAnsi="仿宋" w:eastAsia="仿宋" w:cs="仿宋"/>
                <w:b w:val="0"/>
                <w:bCs/>
                <w:color w:val="auto"/>
                <w:sz w:val="21"/>
                <w:szCs w:val="21"/>
              </w:rPr>
            </w:pPr>
            <w:r>
              <w:rPr>
                <w:rStyle w:val="23"/>
                <w:rFonts w:hint="eastAsia" w:ascii="仿宋" w:hAnsi="仿宋" w:eastAsia="仿宋" w:cs="仿宋"/>
                <w:b w:val="0"/>
                <w:bCs/>
                <w:color w:val="auto"/>
                <w:sz w:val="21"/>
                <w:szCs w:val="21"/>
              </w:rPr>
              <w:t>代理服务费收费标准：本项目的招标代理服务费由成交供应商支付，谈判文件内若有冲突条款的，以本条规定为准。成交供应商须按谈判文件规定向采购代理机构交纳招标代理服务费：①以成交（中标）通知书规定的成交（中标）总金额作为基准按差额定率累进法计算。②收费费率标准</w:t>
            </w:r>
            <w:r>
              <w:rPr>
                <w:rStyle w:val="23"/>
                <w:rFonts w:hint="eastAsia" w:ascii="仿宋" w:hAnsi="仿宋" w:eastAsia="仿宋" w:cs="仿宋"/>
                <w:b w:val="0"/>
                <w:bCs/>
                <w:color w:val="auto"/>
                <w:sz w:val="21"/>
                <w:szCs w:val="21"/>
                <w:lang w:eastAsia="zh-CN"/>
              </w:rPr>
              <w:t>参照</w:t>
            </w:r>
            <w:r>
              <w:rPr>
                <w:rStyle w:val="23"/>
                <w:rFonts w:hint="eastAsia" w:ascii="仿宋" w:hAnsi="仿宋" w:eastAsia="仿宋" w:cs="仿宋"/>
                <w:b w:val="0"/>
                <w:bCs/>
                <w:color w:val="auto"/>
                <w:sz w:val="21"/>
                <w:szCs w:val="21"/>
                <w:lang w:val="en-US" w:eastAsia="zh-CN"/>
              </w:rPr>
              <w:t>《招标代理服务收费管理暂行办法》（计价格【2002】1980号）</w:t>
            </w:r>
            <w:r>
              <w:rPr>
                <w:rStyle w:val="23"/>
                <w:rFonts w:hint="eastAsia" w:ascii="仿宋" w:hAnsi="仿宋" w:eastAsia="仿宋" w:cs="仿宋"/>
                <w:b w:val="0"/>
                <w:bCs/>
                <w:color w:val="auto"/>
                <w:sz w:val="21"/>
                <w:szCs w:val="21"/>
              </w:rPr>
              <w:t>：100万元以下</w:t>
            </w:r>
            <w:r>
              <w:rPr>
                <w:rStyle w:val="23"/>
                <w:rFonts w:hint="eastAsia" w:ascii="仿宋" w:hAnsi="仿宋" w:eastAsia="仿宋" w:cs="仿宋"/>
                <w:b w:val="0"/>
                <w:bCs/>
                <w:color w:val="auto"/>
                <w:sz w:val="21"/>
                <w:szCs w:val="21"/>
                <w:lang w:eastAsia="zh-CN"/>
              </w:rPr>
              <w:t>费率</w:t>
            </w:r>
            <w:r>
              <w:rPr>
                <w:rStyle w:val="23"/>
                <w:rFonts w:hint="eastAsia" w:ascii="仿宋" w:hAnsi="仿宋" w:eastAsia="仿宋" w:cs="仿宋"/>
                <w:b w:val="0"/>
                <w:bCs/>
                <w:color w:val="auto"/>
                <w:sz w:val="21"/>
                <w:szCs w:val="21"/>
              </w:rPr>
              <w:t>1.5%</w:t>
            </w:r>
            <w:r>
              <w:rPr>
                <w:rStyle w:val="23"/>
                <w:rFonts w:hint="eastAsia" w:ascii="仿宋" w:hAnsi="仿宋" w:eastAsia="仿宋" w:cs="仿宋"/>
                <w:b w:val="0"/>
                <w:bCs/>
                <w:color w:val="auto"/>
                <w:sz w:val="21"/>
                <w:szCs w:val="21"/>
                <w:lang w:eastAsia="zh-CN"/>
              </w:rPr>
              <w:t>；如合同包代理服务费不足</w:t>
            </w:r>
            <w:r>
              <w:rPr>
                <w:rStyle w:val="23"/>
                <w:rFonts w:hint="eastAsia" w:ascii="仿宋" w:hAnsi="仿宋" w:eastAsia="仿宋" w:cs="仿宋"/>
                <w:b w:val="0"/>
                <w:bCs/>
                <w:color w:val="auto"/>
                <w:sz w:val="21"/>
                <w:szCs w:val="21"/>
                <w:lang w:val="en-US" w:eastAsia="zh-CN"/>
              </w:rPr>
              <w:t>人民币3</w:t>
            </w:r>
            <w:r>
              <w:rPr>
                <w:rStyle w:val="23"/>
                <w:rFonts w:hint="eastAsia" w:ascii="仿宋" w:hAnsi="仿宋" w:eastAsia="仿宋" w:cs="仿宋"/>
                <w:b w:val="0"/>
                <w:bCs/>
                <w:color w:val="auto"/>
                <w:sz w:val="21"/>
                <w:szCs w:val="21"/>
                <w:lang w:eastAsia="zh-CN"/>
              </w:rPr>
              <w:t>000元的则按</w:t>
            </w:r>
            <w:r>
              <w:rPr>
                <w:rStyle w:val="23"/>
                <w:rFonts w:hint="eastAsia" w:ascii="仿宋" w:hAnsi="仿宋" w:eastAsia="仿宋" w:cs="仿宋"/>
                <w:b w:val="0"/>
                <w:bCs/>
                <w:color w:val="auto"/>
                <w:sz w:val="21"/>
                <w:szCs w:val="21"/>
                <w:lang w:val="en-US" w:eastAsia="zh-CN"/>
              </w:rPr>
              <w:t>人民币3</w:t>
            </w:r>
            <w:r>
              <w:rPr>
                <w:rStyle w:val="23"/>
                <w:rFonts w:hint="eastAsia" w:ascii="仿宋" w:hAnsi="仿宋" w:eastAsia="仿宋" w:cs="仿宋"/>
                <w:b w:val="0"/>
                <w:bCs/>
                <w:color w:val="auto"/>
                <w:sz w:val="21"/>
                <w:szCs w:val="21"/>
                <w:lang w:eastAsia="zh-CN"/>
              </w:rPr>
              <w:t>000元收取</w:t>
            </w:r>
            <w:r>
              <w:rPr>
                <w:rStyle w:val="23"/>
                <w:rFonts w:hint="eastAsia" w:ascii="仿宋" w:hAnsi="仿宋" w:eastAsia="仿宋" w:cs="仿宋"/>
                <w:b w:val="0"/>
                <w:bCs/>
                <w:color w:val="auto"/>
                <w:sz w:val="21"/>
                <w:szCs w:val="21"/>
              </w:rPr>
              <w:t>。③招标代理服务费的交纳方式：a. 成交供应商应在领取中标</w:t>
            </w:r>
            <w:r>
              <w:rPr>
                <w:rStyle w:val="23"/>
                <w:rFonts w:hint="eastAsia" w:ascii="仿宋" w:hAnsi="仿宋" w:eastAsia="仿宋" w:cs="仿宋"/>
                <w:b w:val="0"/>
                <w:bCs/>
                <w:color w:val="auto"/>
                <w:sz w:val="21"/>
                <w:szCs w:val="21"/>
                <w:lang w:eastAsia="zh-CN"/>
              </w:rPr>
              <w:t>（成交）</w:t>
            </w:r>
            <w:r>
              <w:rPr>
                <w:rStyle w:val="23"/>
                <w:rFonts w:hint="eastAsia" w:ascii="仿宋" w:hAnsi="仿宋" w:eastAsia="仿宋" w:cs="仿宋"/>
                <w:b w:val="0"/>
                <w:bCs/>
                <w:color w:val="auto"/>
                <w:sz w:val="21"/>
                <w:szCs w:val="21"/>
              </w:rPr>
              <w:t>通知书的同时按规定的标准一次性向采购代理机构缴清招标代理服务费。b. 招标代理服务费以银行转账、电汇、汇票或现金等付款方式</w:t>
            </w:r>
            <w:r>
              <w:rPr>
                <w:rStyle w:val="23"/>
                <w:rFonts w:hint="eastAsia" w:ascii="仿宋" w:hAnsi="仿宋" w:eastAsia="仿宋" w:cs="仿宋"/>
                <w:b w:val="0"/>
                <w:bCs/>
                <w:color w:val="auto"/>
                <w:sz w:val="21"/>
                <w:szCs w:val="21"/>
                <w:lang w:eastAsia="zh-CN"/>
              </w:rPr>
              <w:t>缴</w:t>
            </w:r>
            <w:r>
              <w:rPr>
                <w:rStyle w:val="23"/>
                <w:rFonts w:hint="eastAsia" w:ascii="仿宋" w:hAnsi="仿宋" w:eastAsia="仿宋" w:cs="仿宋"/>
                <w:b w:val="0"/>
                <w:bCs/>
                <w:color w:val="auto"/>
                <w:sz w:val="21"/>
                <w:szCs w:val="21"/>
              </w:rPr>
              <w:t>纳。招标代理服务费缴交账号：开户名：</w:t>
            </w:r>
            <w:r>
              <w:rPr>
                <w:rStyle w:val="23"/>
                <w:rFonts w:hint="eastAsia" w:ascii="仿宋" w:hAnsi="仿宋" w:eastAsia="仿宋" w:cs="仿宋"/>
                <w:b w:val="0"/>
                <w:bCs/>
                <w:color w:val="auto"/>
                <w:sz w:val="21"/>
                <w:szCs w:val="21"/>
                <w:lang w:eastAsia="zh-CN"/>
              </w:rPr>
              <w:t>福建省维恒项目管理有限公司泉州分公司</w:t>
            </w:r>
            <w:r>
              <w:rPr>
                <w:rStyle w:val="23"/>
                <w:rFonts w:hint="eastAsia" w:ascii="仿宋" w:hAnsi="仿宋" w:eastAsia="仿宋" w:cs="仿宋"/>
                <w:b w:val="0"/>
                <w:bCs/>
                <w:color w:val="auto"/>
                <w:sz w:val="21"/>
                <w:szCs w:val="21"/>
              </w:rPr>
              <w:t>，开户银行：兴业银行泉州分行，账号：1523 0010 0100 7167 74。</w:t>
            </w:r>
          </w:p>
          <w:p>
            <w:pPr>
              <w:keepNext w:val="0"/>
              <w:keepLines w:val="0"/>
              <w:pageBreakBefore w:val="0"/>
              <w:kinsoku/>
              <w:wordWrap/>
              <w:overflowPunct/>
              <w:topLinePunct w:val="0"/>
              <w:autoSpaceDE/>
              <w:autoSpaceDN/>
              <w:bidi w:val="0"/>
              <w:adjustRightInd/>
              <w:snapToGrid/>
              <w:spacing w:line="240" w:lineRule="auto"/>
              <w:textAlignment w:val="auto"/>
              <w:rPr>
                <w:rFonts w:ascii="仿宋" w:hAnsi="仿宋" w:eastAsia="仿宋" w:cs="仿宋"/>
                <w:color w:val="auto"/>
                <w:sz w:val="21"/>
                <w:szCs w:val="21"/>
              </w:rPr>
            </w:pPr>
            <w:r>
              <w:rPr>
                <w:rStyle w:val="23"/>
                <w:rFonts w:hint="eastAsia" w:ascii="仿宋" w:hAnsi="仿宋" w:eastAsia="仿宋" w:cs="仿宋"/>
                <w:color w:val="auto"/>
                <w:sz w:val="21"/>
                <w:szCs w:val="21"/>
              </w:rPr>
              <w:t>（2）其他：</w:t>
            </w:r>
            <w:r>
              <w:rPr>
                <w:rFonts w:hint="eastAsia" w:ascii="仿宋" w:hAnsi="仿宋" w:eastAsia="仿宋" w:cs="仿宋"/>
                <w:color w:val="auto"/>
                <w:sz w:val="21"/>
                <w:szCs w:val="21"/>
              </w:rPr>
              <w:t>①</w:t>
            </w:r>
            <w:r>
              <w:rPr>
                <w:rFonts w:ascii="仿宋" w:hAnsi="仿宋" w:eastAsia="仿宋"/>
                <w:color w:val="auto"/>
                <w:sz w:val="21"/>
                <w:szCs w:val="21"/>
              </w:rPr>
              <w:t>法定条件中“信用记录查询”的补充说明：由资格审查小组进行查询审查：在资格审查当日资格审查小组通过“信用中国”网站（www.creditchina.gov.cn）、中国政府采购网（www.ccgp.gov.cn）查询并打印投标人信用记录。若发现投标人参加本项目采购活动(投标截止时间止)前三年内被列入失信被执行人名单、重大税收违法案件当事人名单、政府采购严重违法失信行为记录名单，受到政府采购行政处罚（存在被拒绝参与政府采购活动相关信息的），且相关信用惩戒期限未满，以及其他不符合《中华人民共和国政府采购法》第二十二条规定条件的供应商，其资格审查不合格。</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auto"/>
                <w:sz w:val="21"/>
                <w:szCs w:val="21"/>
                <w:lang w:eastAsia="zh-CN"/>
              </w:rPr>
            </w:pPr>
            <w:r>
              <w:rPr>
                <w:rFonts w:hint="eastAsia" w:ascii="仿宋" w:hAnsi="仿宋" w:eastAsia="仿宋" w:cs="仿宋"/>
                <w:color w:val="auto"/>
                <w:sz w:val="21"/>
                <w:szCs w:val="21"/>
              </w:rPr>
              <w:t>②</w:t>
            </w:r>
            <w:r>
              <w:rPr>
                <w:rFonts w:hint="eastAsia" w:ascii="仿宋" w:hAnsi="仿宋" w:eastAsia="仿宋" w:cs="仿宋"/>
                <w:color w:val="auto"/>
                <w:sz w:val="21"/>
                <w:szCs w:val="21"/>
                <w:lang w:eastAsia="zh-CN"/>
              </w:rPr>
              <w:t>供应商</w:t>
            </w:r>
            <w:r>
              <w:rPr>
                <w:rFonts w:hint="eastAsia" w:ascii="仿宋" w:hAnsi="仿宋" w:eastAsia="仿宋" w:cs="仿宋"/>
                <w:color w:val="auto"/>
                <w:sz w:val="21"/>
                <w:szCs w:val="21"/>
              </w:rPr>
              <w:t>须按照</w:t>
            </w:r>
            <w:r>
              <w:rPr>
                <w:rFonts w:hint="eastAsia" w:ascii="仿宋" w:hAnsi="仿宋" w:eastAsia="仿宋" w:cs="仿宋"/>
                <w:color w:val="auto"/>
                <w:sz w:val="21"/>
                <w:szCs w:val="21"/>
                <w:lang w:eastAsia="zh-CN"/>
              </w:rPr>
              <w:t>谈判</w:t>
            </w:r>
            <w:r>
              <w:rPr>
                <w:rFonts w:hint="eastAsia" w:ascii="仿宋" w:hAnsi="仿宋" w:eastAsia="仿宋" w:cs="仿宋"/>
                <w:color w:val="auto"/>
                <w:sz w:val="21"/>
                <w:szCs w:val="21"/>
              </w:rPr>
              <w:t>文件格式要求制作并提供，否则不符合</w:t>
            </w:r>
            <w:r>
              <w:rPr>
                <w:rFonts w:hint="eastAsia" w:ascii="仿宋" w:hAnsi="仿宋" w:eastAsia="仿宋" w:cs="仿宋"/>
                <w:color w:val="auto"/>
                <w:sz w:val="21"/>
                <w:szCs w:val="21"/>
                <w:lang w:eastAsia="zh-CN"/>
              </w:rPr>
              <w:t>谈判</w:t>
            </w:r>
            <w:r>
              <w:rPr>
                <w:rFonts w:hint="eastAsia" w:ascii="仿宋" w:hAnsi="仿宋" w:eastAsia="仿宋" w:cs="仿宋"/>
                <w:color w:val="auto"/>
                <w:sz w:val="21"/>
                <w:szCs w:val="21"/>
              </w:rPr>
              <w:t>文件将被视为未提供或不满足，资格证明文件不符的，</w:t>
            </w:r>
            <w:r>
              <w:rPr>
                <w:rFonts w:hint="eastAsia" w:ascii="仿宋" w:hAnsi="仿宋" w:eastAsia="仿宋" w:cs="仿宋"/>
                <w:color w:val="auto"/>
                <w:sz w:val="21"/>
                <w:szCs w:val="21"/>
                <w:lang w:eastAsia="zh-CN"/>
              </w:rPr>
              <w:t>则</w:t>
            </w:r>
            <w:r>
              <w:rPr>
                <w:rFonts w:hint="eastAsia" w:ascii="仿宋" w:hAnsi="仿宋" w:eastAsia="仿宋" w:cs="仿宋"/>
                <w:color w:val="auto"/>
                <w:sz w:val="21"/>
                <w:szCs w:val="21"/>
              </w:rPr>
              <w:t>按无效处理</w:t>
            </w:r>
            <w:r>
              <w:rPr>
                <w:rFonts w:hint="eastAsia" w:ascii="仿宋" w:hAnsi="仿宋" w:eastAsia="仿宋" w:cs="仿宋"/>
                <w:color w:val="auto"/>
                <w:sz w:val="21"/>
                <w:szCs w:val="21"/>
                <w:lang w:eastAsia="zh-CN"/>
              </w:rPr>
              <w:t>。</w:t>
            </w:r>
          </w:p>
          <w:p>
            <w:pPr>
              <w:keepNext w:val="0"/>
              <w:keepLines w:val="0"/>
              <w:pageBreakBefore w:val="0"/>
              <w:kinsoku/>
              <w:wordWrap/>
              <w:overflowPunct/>
              <w:topLinePunct w:val="0"/>
              <w:autoSpaceDE/>
              <w:autoSpaceDN/>
              <w:bidi w:val="0"/>
              <w:adjustRightInd/>
              <w:snapToGrid/>
              <w:spacing w:line="240" w:lineRule="auto"/>
              <w:textAlignment w:val="auto"/>
              <w:rPr>
                <w:rFonts w:ascii="仿宋" w:hAnsi="仿宋" w:eastAsia="仿宋"/>
                <w:color w:val="auto"/>
                <w:sz w:val="21"/>
                <w:szCs w:val="21"/>
              </w:rPr>
            </w:pPr>
            <w:r>
              <w:rPr>
                <w:rFonts w:hint="eastAsia" w:ascii="仿宋" w:hAnsi="仿宋" w:eastAsia="仿宋"/>
                <w:color w:val="auto"/>
                <w:sz w:val="21"/>
                <w:szCs w:val="21"/>
              </w:rPr>
              <w:t>③</w:t>
            </w:r>
            <w:r>
              <w:rPr>
                <w:rFonts w:ascii="仿宋" w:hAnsi="仿宋" w:eastAsia="仿宋"/>
                <w:color w:val="auto"/>
                <w:sz w:val="21"/>
                <w:szCs w:val="21"/>
              </w:rPr>
              <w:t>质疑受理的其它要求</w:t>
            </w:r>
            <w:r>
              <w:rPr>
                <w:rFonts w:hint="eastAsia" w:ascii="仿宋" w:hAnsi="仿宋" w:eastAsia="仿宋"/>
                <w:color w:val="auto"/>
                <w:sz w:val="21"/>
                <w:szCs w:val="21"/>
              </w:rPr>
              <w:t>:</w:t>
            </w:r>
          </w:p>
          <w:p>
            <w:pPr>
              <w:keepNext w:val="0"/>
              <w:keepLines w:val="0"/>
              <w:pageBreakBefore w:val="0"/>
              <w:kinsoku/>
              <w:wordWrap/>
              <w:overflowPunct/>
              <w:topLinePunct w:val="0"/>
              <w:autoSpaceDE/>
              <w:autoSpaceDN/>
              <w:bidi w:val="0"/>
              <w:adjustRightInd/>
              <w:snapToGrid/>
              <w:spacing w:line="240" w:lineRule="auto"/>
              <w:textAlignment w:val="auto"/>
              <w:rPr>
                <w:rFonts w:ascii="仿宋" w:hAnsi="仿宋" w:eastAsia="仿宋"/>
                <w:color w:val="auto"/>
                <w:sz w:val="21"/>
                <w:szCs w:val="21"/>
              </w:rPr>
            </w:pPr>
            <w:r>
              <w:rPr>
                <w:rFonts w:ascii="仿宋" w:hAnsi="仿宋" w:eastAsia="仿宋"/>
                <w:color w:val="auto"/>
                <w:sz w:val="21"/>
                <w:szCs w:val="21"/>
              </w:rPr>
              <w:t>a</w:t>
            </w:r>
            <w:r>
              <w:rPr>
                <w:rFonts w:hint="eastAsia" w:ascii="仿宋" w:hAnsi="仿宋" w:eastAsia="仿宋"/>
                <w:color w:val="auto"/>
                <w:sz w:val="21"/>
                <w:szCs w:val="21"/>
              </w:rPr>
              <w:t>.</w:t>
            </w:r>
            <w:r>
              <w:rPr>
                <w:rFonts w:ascii="仿宋" w:hAnsi="仿宋" w:eastAsia="仿宋"/>
                <w:color w:val="auto"/>
                <w:sz w:val="21"/>
                <w:szCs w:val="21"/>
              </w:rPr>
              <w:t>质疑人提交书面质疑的，质疑书还应包括：</w:t>
            </w:r>
          </w:p>
          <w:p>
            <w:pPr>
              <w:keepNext w:val="0"/>
              <w:keepLines w:val="0"/>
              <w:pageBreakBefore w:val="0"/>
              <w:kinsoku/>
              <w:wordWrap/>
              <w:overflowPunct/>
              <w:topLinePunct w:val="0"/>
              <w:autoSpaceDE/>
              <w:autoSpaceDN/>
              <w:bidi w:val="0"/>
              <w:adjustRightInd/>
              <w:snapToGrid/>
              <w:spacing w:line="240" w:lineRule="auto"/>
              <w:textAlignment w:val="auto"/>
              <w:rPr>
                <w:rFonts w:ascii="仿宋" w:hAnsi="仿宋" w:eastAsia="仿宋"/>
                <w:color w:val="auto"/>
                <w:sz w:val="21"/>
                <w:szCs w:val="21"/>
              </w:rPr>
            </w:pPr>
            <w:r>
              <w:rPr>
                <w:rFonts w:ascii="仿宋" w:hAnsi="仿宋" w:eastAsia="仿宋"/>
                <w:color w:val="auto"/>
                <w:sz w:val="21"/>
                <w:szCs w:val="21"/>
              </w:rPr>
              <w:t>a</w:t>
            </w:r>
            <w:r>
              <w:rPr>
                <w:rFonts w:hint="eastAsia" w:ascii="仿宋" w:hAnsi="仿宋" w:eastAsia="仿宋"/>
                <w:color w:val="auto"/>
                <w:sz w:val="21"/>
                <w:szCs w:val="21"/>
              </w:rPr>
              <w:t>1.</w:t>
            </w:r>
            <w:r>
              <w:rPr>
                <w:rFonts w:ascii="仿宋" w:hAnsi="仿宋" w:eastAsia="仿宋"/>
                <w:color w:val="auto"/>
                <w:sz w:val="21"/>
                <w:szCs w:val="21"/>
              </w:rPr>
              <w:t>质疑人已对本项目进行报名的证明文件（体现报名时间），否则将不被认定为潜在投标人【</w:t>
            </w:r>
            <w:r>
              <w:rPr>
                <w:rFonts w:hint="eastAsia" w:ascii="仿宋" w:hAnsi="仿宋" w:eastAsia="仿宋"/>
                <w:color w:val="auto"/>
                <w:sz w:val="21"/>
                <w:szCs w:val="21"/>
              </w:rPr>
              <w:t>获取</w:t>
            </w:r>
            <w:r>
              <w:rPr>
                <w:rFonts w:ascii="仿宋" w:hAnsi="仿宋" w:eastAsia="仿宋"/>
                <w:color w:val="auto"/>
                <w:sz w:val="21"/>
                <w:szCs w:val="21"/>
              </w:rPr>
              <w:t>招标文件之日为质疑人报名成功之日】；</w:t>
            </w:r>
          </w:p>
          <w:p>
            <w:pPr>
              <w:keepNext w:val="0"/>
              <w:keepLines w:val="0"/>
              <w:pageBreakBefore w:val="0"/>
              <w:kinsoku/>
              <w:wordWrap/>
              <w:overflowPunct/>
              <w:topLinePunct w:val="0"/>
              <w:autoSpaceDE/>
              <w:autoSpaceDN/>
              <w:bidi w:val="0"/>
              <w:adjustRightInd/>
              <w:snapToGrid/>
              <w:spacing w:line="240" w:lineRule="auto"/>
              <w:textAlignment w:val="auto"/>
              <w:rPr>
                <w:rFonts w:ascii="仿宋" w:hAnsi="仿宋" w:eastAsia="仿宋"/>
                <w:color w:val="auto"/>
                <w:sz w:val="21"/>
                <w:szCs w:val="21"/>
              </w:rPr>
            </w:pPr>
            <w:r>
              <w:rPr>
                <w:rFonts w:hint="eastAsia" w:ascii="仿宋" w:hAnsi="仿宋" w:eastAsia="仿宋"/>
                <w:color w:val="auto"/>
                <w:sz w:val="21"/>
                <w:szCs w:val="21"/>
              </w:rPr>
              <w:t>a2.</w:t>
            </w:r>
            <w:r>
              <w:rPr>
                <w:rFonts w:ascii="仿宋" w:hAnsi="仿宋" w:eastAsia="仿宋"/>
                <w:color w:val="auto"/>
                <w:sz w:val="21"/>
                <w:szCs w:val="21"/>
              </w:rPr>
              <w:t>质疑人为法人或其他组织的，质疑函需逐页加盖质疑人单位公章；若本项目接受自然人投标且质疑人为自然人的，质疑函需质疑人本人逐页签名。</w:t>
            </w:r>
          </w:p>
          <w:p>
            <w:pPr>
              <w:keepNext w:val="0"/>
              <w:keepLines w:val="0"/>
              <w:pageBreakBefore w:val="0"/>
              <w:kinsoku/>
              <w:wordWrap/>
              <w:overflowPunct/>
              <w:topLinePunct w:val="0"/>
              <w:autoSpaceDE/>
              <w:autoSpaceDN/>
              <w:bidi w:val="0"/>
              <w:adjustRightInd/>
              <w:snapToGrid/>
              <w:spacing w:line="240" w:lineRule="auto"/>
              <w:textAlignment w:val="auto"/>
              <w:rPr>
                <w:rFonts w:ascii="仿宋" w:hAnsi="仿宋" w:eastAsia="仿宋"/>
                <w:color w:val="auto"/>
                <w:sz w:val="21"/>
                <w:szCs w:val="21"/>
              </w:rPr>
            </w:pPr>
            <w:r>
              <w:rPr>
                <w:rFonts w:hint="eastAsia" w:ascii="仿宋" w:hAnsi="仿宋" w:eastAsia="仿宋"/>
                <w:color w:val="auto"/>
                <w:sz w:val="21"/>
                <w:szCs w:val="21"/>
              </w:rPr>
              <w:t>b.</w:t>
            </w:r>
            <w:r>
              <w:rPr>
                <w:rFonts w:ascii="仿宋" w:hAnsi="仿宋" w:eastAsia="仿宋"/>
                <w:color w:val="auto"/>
                <w:sz w:val="21"/>
                <w:szCs w:val="21"/>
              </w:rPr>
              <w:t>在法定质疑期内供应商须一次性提出针对同一采购程序环节的质疑，二（多）次质疑不予受理，采购代理机构或采购人只针对第一次有效质疑进行答复。</w:t>
            </w:r>
          </w:p>
          <w:p>
            <w:pPr>
              <w:keepNext w:val="0"/>
              <w:keepLines w:val="0"/>
              <w:pageBreakBefore w:val="0"/>
              <w:kinsoku/>
              <w:wordWrap/>
              <w:overflowPunct/>
              <w:topLinePunct w:val="0"/>
              <w:autoSpaceDE/>
              <w:autoSpaceDN/>
              <w:bidi w:val="0"/>
              <w:adjustRightInd/>
              <w:snapToGrid/>
              <w:spacing w:line="240" w:lineRule="auto"/>
              <w:textAlignment w:val="auto"/>
              <w:rPr>
                <w:rFonts w:ascii="仿宋" w:hAnsi="仿宋" w:eastAsia="仿宋"/>
                <w:color w:val="auto"/>
                <w:sz w:val="21"/>
                <w:szCs w:val="21"/>
              </w:rPr>
            </w:pPr>
            <w:r>
              <w:rPr>
                <w:rFonts w:hint="eastAsia" w:ascii="仿宋" w:hAnsi="仿宋" w:eastAsia="仿宋"/>
                <w:color w:val="auto"/>
                <w:sz w:val="21"/>
                <w:szCs w:val="21"/>
              </w:rPr>
              <w:t>c.</w:t>
            </w:r>
            <w:r>
              <w:rPr>
                <w:rFonts w:ascii="仿宋" w:hAnsi="仿宋" w:eastAsia="仿宋"/>
                <w:color w:val="auto"/>
                <w:sz w:val="21"/>
                <w:szCs w:val="21"/>
              </w:rPr>
              <w:t>投标人对本项目招标文件有任何疑议或不认同之处，需在法定时间内按规定以书面方式【接收地点为：</w:t>
            </w:r>
            <w:r>
              <w:rPr>
                <w:rFonts w:hint="eastAsia" w:ascii="仿宋" w:hAnsi="仿宋" w:eastAsia="仿宋"/>
                <w:color w:val="auto"/>
                <w:sz w:val="21"/>
                <w:szCs w:val="21"/>
                <w:lang w:eastAsia="zh-CN"/>
              </w:rPr>
              <w:t>福建省泉州市丰泽区城东街道前头社区安吉南路970号星光耀广场18幢2726室</w:t>
            </w:r>
            <w:r>
              <w:rPr>
                <w:rFonts w:ascii="仿宋" w:hAnsi="仿宋" w:eastAsia="仿宋"/>
                <w:color w:val="auto"/>
                <w:sz w:val="21"/>
                <w:szCs w:val="21"/>
              </w:rPr>
              <w:t>（电话：0595-2</w:t>
            </w:r>
            <w:r>
              <w:rPr>
                <w:rFonts w:hint="eastAsia" w:ascii="仿宋" w:hAnsi="仿宋" w:eastAsia="仿宋"/>
                <w:color w:val="auto"/>
                <w:sz w:val="21"/>
                <w:szCs w:val="21"/>
              </w:rPr>
              <w:t>8801009</w:t>
            </w:r>
            <w:r>
              <w:rPr>
                <w:rFonts w:ascii="仿宋" w:hAnsi="仿宋" w:eastAsia="仿宋"/>
                <w:color w:val="auto"/>
                <w:sz w:val="21"/>
                <w:szCs w:val="21"/>
              </w:rPr>
              <w:t>)】提出质疑，否则视为投标人接受招标文件的规定。</w:t>
            </w:r>
          </w:p>
          <w:p>
            <w:pPr>
              <w:keepNext w:val="0"/>
              <w:keepLines w:val="0"/>
              <w:pageBreakBefore w:val="0"/>
              <w:kinsoku/>
              <w:wordWrap/>
              <w:overflowPunct/>
              <w:topLinePunct w:val="0"/>
              <w:autoSpaceDE/>
              <w:autoSpaceDN/>
              <w:bidi w:val="0"/>
              <w:adjustRightInd/>
              <w:snapToGrid/>
              <w:spacing w:line="240" w:lineRule="auto"/>
              <w:textAlignment w:val="auto"/>
              <w:rPr>
                <w:rFonts w:ascii="仿宋" w:hAnsi="仿宋" w:eastAsia="仿宋"/>
                <w:color w:val="auto"/>
              </w:rPr>
            </w:pPr>
            <w:r>
              <w:rPr>
                <w:rFonts w:hint="eastAsia" w:ascii="仿宋" w:hAnsi="仿宋" w:eastAsia="仿宋"/>
                <w:color w:val="auto"/>
                <w:sz w:val="21"/>
                <w:szCs w:val="21"/>
              </w:rPr>
              <w:t>d.</w:t>
            </w:r>
            <w:r>
              <w:rPr>
                <w:rFonts w:ascii="仿宋" w:hAnsi="仿宋" w:eastAsia="仿宋"/>
                <w:color w:val="auto"/>
                <w:sz w:val="21"/>
                <w:szCs w:val="21"/>
              </w:rPr>
              <w:t>财政部出台的政府采购供应商质疑函范本下载网址为：http://gks.mof.gov.cn/ztztz/zhengfucaigouguanli/201802/t20180201_2804589.htm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jc w:val="center"/>
        </w:trPr>
        <w:tc>
          <w:tcPr>
            <w:tcW w:w="53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仿宋"/>
                <w:color w:val="auto"/>
                <w:sz w:val="24"/>
              </w:rPr>
            </w:pPr>
            <w:r>
              <w:rPr>
                <w:rFonts w:hint="eastAsia" w:ascii="仿宋" w:hAnsi="仿宋" w:eastAsia="仿宋" w:cs="仿宋"/>
                <w:color w:val="auto"/>
                <w:kern w:val="0"/>
                <w:sz w:val="24"/>
              </w:rPr>
              <w:t>14</w:t>
            </w:r>
          </w:p>
        </w:tc>
        <w:tc>
          <w:tcPr>
            <w:tcW w:w="103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color w:val="auto"/>
                <w:sz w:val="24"/>
              </w:rPr>
            </w:pPr>
          </w:p>
        </w:tc>
        <w:tc>
          <w:tcPr>
            <w:tcW w:w="801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color w:val="auto"/>
                <w:sz w:val="24"/>
              </w:rPr>
            </w:pPr>
            <w:r>
              <w:rPr>
                <w:rStyle w:val="23"/>
                <w:rFonts w:hint="eastAsia" w:ascii="仿宋" w:hAnsi="仿宋" w:eastAsia="仿宋" w:cs="仿宋"/>
                <w:color w:val="auto"/>
                <w:kern w:val="0"/>
                <w:sz w:val="24"/>
              </w:rPr>
              <w:t>是否组织现场考察或召开开标前答疑会：否</w:t>
            </w:r>
            <w:r>
              <w:rPr>
                <w:rFonts w:hint="eastAsia" w:ascii="仿宋" w:hAnsi="仿宋" w:eastAsia="仿宋" w:cs="仿宋"/>
                <w:color w:val="auto"/>
                <w:kern w:val="0"/>
                <w:sz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jc w:val="center"/>
        </w:trPr>
        <w:tc>
          <w:tcPr>
            <w:tcW w:w="53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15</w:t>
            </w:r>
          </w:p>
        </w:tc>
        <w:tc>
          <w:tcPr>
            <w:tcW w:w="103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仿宋" w:hAnsi="仿宋" w:eastAsia="仿宋" w:cs="仿宋"/>
                <w:color w:val="auto"/>
                <w:sz w:val="24"/>
              </w:rPr>
            </w:pPr>
          </w:p>
        </w:tc>
        <w:tc>
          <w:tcPr>
            <w:tcW w:w="801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Style w:val="23"/>
                <w:rFonts w:hint="eastAsia" w:ascii="仿宋" w:hAnsi="仿宋" w:eastAsia="仿宋" w:cs="仿宋"/>
                <w:color w:val="auto"/>
                <w:kern w:val="0"/>
                <w:sz w:val="24"/>
              </w:rPr>
            </w:pPr>
            <w:r>
              <w:rPr>
                <w:rStyle w:val="23"/>
                <w:rFonts w:hint="eastAsia" w:ascii="仿宋" w:hAnsi="仿宋" w:eastAsia="仿宋" w:cs="仿宋"/>
                <w:color w:val="auto"/>
                <w:kern w:val="0"/>
                <w:sz w:val="24"/>
              </w:rPr>
              <w:t>合同签订时限： 自中标通知书发出之日起30个日历日内。</w:t>
            </w:r>
          </w:p>
        </w:tc>
      </w:tr>
    </w:tbl>
    <w:p>
      <w:pPr>
        <w:pStyle w:val="17"/>
        <w:keepNext w:val="0"/>
        <w:keepLines w:val="0"/>
        <w:pageBreakBefore w:val="0"/>
        <w:widowControl/>
        <w:kinsoku/>
        <w:wordWrap/>
        <w:overflowPunct/>
        <w:topLinePunct w:val="0"/>
        <w:autoSpaceDE/>
        <w:autoSpaceDN/>
        <w:bidi w:val="0"/>
        <w:adjustRightInd/>
        <w:snapToGrid/>
        <w:spacing w:before="75" w:beforeAutospacing="0" w:after="75" w:afterAutospacing="0" w:line="360" w:lineRule="atLeast"/>
        <w:textAlignment w:val="auto"/>
        <w:rPr>
          <w:rStyle w:val="23"/>
          <w:rFonts w:hint="eastAsia" w:ascii="仿宋" w:hAnsi="仿宋" w:eastAsia="仿宋" w:cs="仿宋"/>
          <w:color w:val="auto"/>
        </w:rPr>
      </w:pPr>
    </w:p>
    <w:p>
      <w:pPr>
        <w:pStyle w:val="17"/>
        <w:keepNext w:val="0"/>
        <w:keepLines w:val="0"/>
        <w:pageBreakBefore w:val="0"/>
        <w:widowControl/>
        <w:kinsoku/>
        <w:wordWrap/>
        <w:overflowPunct/>
        <w:topLinePunct w:val="0"/>
        <w:autoSpaceDE/>
        <w:autoSpaceDN/>
        <w:bidi w:val="0"/>
        <w:adjustRightInd/>
        <w:snapToGrid/>
        <w:spacing w:before="75" w:beforeAutospacing="0" w:after="75" w:afterAutospacing="0" w:line="360" w:lineRule="atLeast"/>
        <w:textAlignment w:val="auto"/>
        <w:rPr>
          <w:rStyle w:val="23"/>
          <w:rFonts w:hint="eastAsia" w:ascii="仿宋" w:hAnsi="仿宋" w:eastAsia="仿宋" w:cs="仿宋"/>
          <w:color w:val="auto"/>
        </w:rPr>
      </w:pPr>
    </w:p>
    <w:p>
      <w:pPr>
        <w:pStyle w:val="17"/>
        <w:keepNext w:val="0"/>
        <w:keepLines w:val="0"/>
        <w:pageBreakBefore w:val="0"/>
        <w:widowControl/>
        <w:kinsoku/>
        <w:wordWrap/>
        <w:overflowPunct/>
        <w:topLinePunct w:val="0"/>
        <w:autoSpaceDE/>
        <w:autoSpaceDN/>
        <w:bidi w:val="0"/>
        <w:adjustRightInd/>
        <w:snapToGrid/>
        <w:spacing w:before="75" w:beforeAutospacing="0" w:after="75" w:afterAutospacing="0" w:line="360" w:lineRule="atLeast"/>
        <w:textAlignment w:val="auto"/>
        <w:rPr>
          <w:rFonts w:ascii="仿宋" w:hAnsi="仿宋" w:eastAsia="仿宋" w:cs="仿宋"/>
          <w:color w:val="auto"/>
        </w:rPr>
      </w:pPr>
      <w:r>
        <w:rPr>
          <w:rStyle w:val="23"/>
          <w:rFonts w:hint="eastAsia" w:ascii="仿宋" w:hAnsi="仿宋" w:eastAsia="仿宋" w:cs="仿宋"/>
          <w:color w:val="auto"/>
        </w:rPr>
        <w:t>专项附件：</w:t>
      </w:r>
      <w:r>
        <w:rPr>
          <w:rStyle w:val="23"/>
          <w:rFonts w:hint="eastAsia" w:ascii="仿宋" w:hAnsi="仿宋" w:eastAsia="仿宋" w:cs="仿宋"/>
          <w:color w:val="auto"/>
          <w:lang w:val="en-US" w:eastAsia="zh-CN"/>
        </w:rPr>
        <w:t xml:space="preserve">  </w:t>
      </w:r>
      <w:r>
        <w:rPr>
          <w:rStyle w:val="23"/>
          <w:rFonts w:hint="eastAsia" w:ascii="仿宋" w:hAnsi="仿宋" w:eastAsia="仿宋" w:cs="仿宋"/>
          <w:color w:val="auto"/>
        </w:rPr>
        <w:t>评定成交的标准和方法</w:t>
      </w:r>
    </w:p>
    <w:p>
      <w:pPr>
        <w:pStyle w:val="17"/>
        <w:widowControl/>
        <w:spacing w:before="75" w:beforeAutospacing="0" w:after="75" w:afterAutospacing="0" w:line="435" w:lineRule="atLeast"/>
        <w:jc w:val="center"/>
        <w:rPr>
          <w:rFonts w:ascii="仿宋" w:hAnsi="仿宋" w:eastAsia="仿宋" w:cs="仿宋"/>
          <w:color w:val="auto"/>
        </w:rPr>
      </w:pPr>
      <w:bookmarkStart w:id="6" w:name="_Toc22154"/>
      <w:r>
        <w:rPr>
          <w:rFonts w:hint="eastAsia" w:ascii="仿宋" w:hAnsi="仿宋" w:eastAsia="仿宋" w:cs="仿宋"/>
          <w:b/>
          <w:bCs/>
          <w:color w:val="auto"/>
          <w:kern w:val="2"/>
          <w:sz w:val="24"/>
          <w:szCs w:val="24"/>
          <w:lang w:val="en-US" w:eastAsia="zh-CN" w:bidi="ar-SA"/>
        </w:rPr>
        <w:t>一、谈判小组</w:t>
      </w:r>
      <w:bookmarkEnd w:id="6"/>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1.1采购人根据项目的特点依法组建谈判小组。</w:t>
      </w:r>
    </w:p>
    <w:p>
      <w:pPr>
        <w:pStyle w:val="17"/>
        <w:widowControl/>
        <w:spacing w:beforeAutospacing="0" w:afterAutospacing="0" w:line="276" w:lineRule="auto"/>
        <w:ind w:firstLine="240"/>
        <w:rPr>
          <w:rFonts w:ascii="仿宋" w:hAnsi="仿宋" w:eastAsia="仿宋" w:cs="仿宋"/>
          <w:color w:val="auto"/>
        </w:rPr>
      </w:pPr>
      <w:r>
        <w:rPr>
          <w:rFonts w:hint="eastAsia" w:ascii="仿宋" w:hAnsi="仿宋" w:eastAsia="仿宋" w:cs="仿宋"/>
          <w:color w:val="auto"/>
        </w:rPr>
        <w:t>1.2谈判小组由采购人代表和评审专家两部分（以下简称“评委”）共</w:t>
      </w:r>
      <w:r>
        <w:rPr>
          <w:rFonts w:hint="eastAsia" w:ascii="仿宋" w:hAnsi="仿宋" w:eastAsia="仿宋" w:cs="仿宋"/>
          <w:color w:val="auto"/>
          <w:u w:val="single"/>
        </w:rPr>
        <w:t>3</w:t>
      </w:r>
      <w:r>
        <w:rPr>
          <w:rFonts w:hint="eastAsia" w:ascii="仿宋" w:hAnsi="仿宋" w:eastAsia="仿宋" w:cs="仿宋"/>
          <w:color w:val="auto"/>
        </w:rPr>
        <w:t>人组成，其中：</w:t>
      </w:r>
      <w:r>
        <w:rPr>
          <w:rFonts w:hint="eastAsia" w:ascii="仿宋" w:hAnsi="仿宋" w:eastAsia="仿宋" w:cs="仿宋"/>
          <w:b w:val="0"/>
          <w:bCs w:val="0"/>
          <w:color w:val="auto"/>
        </w:rPr>
        <w:t>采购人代表</w:t>
      </w:r>
      <w:r>
        <w:rPr>
          <w:rFonts w:hint="eastAsia" w:ascii="仿宋" w:hAnsi="仿宋" w:eastAsia="仿宋" w:cs="仿宋"/>
          <w:b w:val="0"/>
          <w:bCs w:val="0"/>
          <w:color w:val="auto"/>
          <w:u w:val="single"/>
          <w:lang w:val="en-US" w:eastAsia="zh-CN"/>
        </w:rPr>
        <w:t>1</w:t>
      </w:r>
      <w:r>
        <w:rPr>
          <w:rFonts w:hint="eastAsia" w:ascii="仿宋" w:hAnsi="仿宋" w:eastAsia="仿宋" w:cs="仿宋"/>
          <w:b w:val="0"/>
          <w:bCs w:val="0"/>
          <w:color w:val="auto"/>
        </w:rPr>
        <w:t>人由采</w:t>
      </w:r>
      <w:r>
        <w:rPr>
          <w:rFonts w:hint="eastAsia" w:ascii="仿宋" w:hAnsi="仿宋" w:eastAsia="仿宋" w:cs="仿宋"/>
          <w:color w:val="auto"/>
        </w:rPr>
        <w:t>购人派出，评审专家</w:t>
      </w:r>
      <w:r>
        <w:rPr>
          <w:rFonts w:hint="eastAsia" w:ascii="仿宋" w:hAnsi="仿宋" w:eastAsia="仿宋" w:cs="仿宋"/>
          <w:color w:val="auto"/>
          <w:u w:val="single"/>
          <w:lang w:val="en-US" w:eastAsia="zh-CN"/>
        </w:rPr>
        <w:t>2</w:t>
      </w:r>
      <w:r>
        <w:rPr>
          <w:rFonts w:hint="eastAsia" w:ascii="仿宋" w:hAnsi="仿宋" w:eastAsia="仿宋" w:cs="仿宋"/>
          <w:color w:val="auto"/>
        </w:rPr>
        <w:t>人由福建省政府采购评审专家库产生。达到公开招标数额标准的货物或者服务采购项目，或者达到招标规模标准的政府采购工程，竞争性谈判小组应当由</w:t>
      </w:r>
      <w:r>
        <w:rPr>
          <w:rFonts w:hint="eastAsia" w:ascii="仿宋" w:hAnsi="仿宋" w:eastAsia="仿宋" w:cs="仿宋"/>
          <w:color w:val="auto"/>
          <w:u w:val="single"/>
        </w:rPr>
        <w:t>5</w:t>
      </w:r>
      <w:r>
        <w:rPr>
          <w:rFonts w:hint="eastAsia" w:ascii="仿宋" w:hAnsi="仿宋" w:eastAsia="仿宋" w:cs="仿宋"/>
          <w:color w:val="auto"/>
        </w:rPr>
        <w:t>人或以上单数组成。</w:t>
      </w:r>
    </w:p>
    <w:p>
      <w:pPr>
        <w:pStyle w:val="17"/>
        <w:widowControl/>
        <w:spacing w:beforeAutospacing="0" w:afterAutospacing="0" w:line="276" w:lineRule="auto"/>
        <w:ind w:firstLine="240"/>
        <w:rPr>
          <w:rFonts w:ascii="仿宋" w:hAnsi="仿宋" w:eastAsia="仿宋" w:cs="仿宋"/>
          <w:color w:val="auto"/>
        </w:rPr>
      </w:pPr>
      <w:r>
        <w:rPr>
          <w:rFonts w:hint="eastAsia" w:ascii="仿宋" w:hAnsi="仿宋" w:eastAsia="仿宋" w:cs="仿宋"/>
          <w:color w:val="auto"/>
        </w:rPr>
        <w:t>1.3谈判小组负责具体谈判和评审事务，并按照下列原则依法独立履行有关职责：</w:t>
      </w:r>
    </w:p>
    <w:p>
      <w:pPr>
        <w:pStyle w:val="17"/>
        <w:widowControl/>
        <w:spacing w:beforeAutospacing="0" w:afterAutospacing="0" w:line="276" w:lineRule="auto"/>
        <w:ind w:firstLine="240" w:firstLineChars="100"/>
        <w:rPr>
          <w:rFonts w:ascii="仿宋" w:hAnsi="仿宋" w:eastAsia="仿宋" w:cs="仿宋"/>
          <w:color w:val="auto"/>
        </w:rPr>
      </w:pPr>
      <w:r>
        <w:rPr>
          <w:rFonts w:hint="eastAsia" w:ascii="仿宋" w:hAnsi="仿宋" w:eastAsia="仿宋" w:cs="仿宋"/>
          <w:color w:val="auto"/>
        </w:rPr>
        <w:t>1.3.1评审应保护国家利益、社会公共利益和各方当事人合法权益，提高采购效益，保证项目质量。</w:t>
      </w:r>
    </w:p>
    <w:p>
      <w:pPr>
        <w:pStyle w:val="17"/>
        <w:widowControl/>
        <w:spacing w:beforeAutospacing="0" w:afterAutospacing="0" w:line="276" w:lineRule="auto"/>
        <w:ind w:firstLine="240" w:firstLineChars="100"/>
        <w:rPr>
          <w:rFonts w:ascii="仿宋" w:hAnsi="仿宋" w:eastAsia="仿宋" w:cs="仿宋"/>
          <w:color w:val="auto"/>
        </w:rPr>
      </w:pPr>
      <w:r>
        <w:rPr>
          <w:rFonts w:hint="eastAsia" w:ascii="仿宋" w:hAnsi="仿宋" w:eastAsia="仿宋" w:cs="仿宋"/>
          <w:color w:val="auto"/>
        </w:rPr>
        <w:t>1.3.2评审应遵循公平、公正、科学、严谨和择优原则。</w:t>
      </w:r>
    </w:p>
    <w:p>
      <w:pPr>
        <w:pStyle w:val="17"/>
        <w:widowControl/>
        <w:spacing w:beforeAutospacing="0" w:afterAutospacing="0" w:line="276" w:lineRule="auto"/>
        <w:ind w:firstLine="240" w:firstLineChars="100"/>
        <w:rPr>
          <w:rFonts w:ascii="仿宋" w:hAnsi="仿宋" w:eastAsia="仿宋" w:cs="仿宋"/>
          <w:color w:val="auto"/>
        </w:rPr>
      </w:pPr>
      <w:r>
        <w:rPr>
          <w:rFonts w:hint="eastAsia" w:ascii="仿宋" w:hAnsi="仿宋" w:eastAsia="仿宋" w:cs="仿宋"/>
          <w:color w:val="auto"/>
        </w:rPr>
        <w:t>1.3.3评审的依据是谈判文件和响应文件，谈判文件中没有规定的评审标准不得作为评审依据。</w:t>
      </w:r>
    </w:p>
    <w:p>
      <w:pPr>
        <w:pStyle w:val="17"/>
        <w:widowControl/>
        <w:spacing w:beforeAutospacing="0" w:afterAutospacing="0" w:line="276" w:lineRule="auto"/>
        <w:ind w:firstLine="240" w:firstLineChars="100"/>
        <w:rPr>
          <w:rFonts w:ascii="仿宋" w:hAnsi="仿宋" w:eastAsia="仿宋" w:cs="仿宋"/>
          <w:color w:val="auto"/>
        </w:rPr>
      </w:pPr>
      <w:r>
        <w:rPr>
          <w:rFonts w:hint="eastAsia" w:ascii="仿宋" w:hAnsi="仿宋" w:eastAsia="仿宋" w:cs="仿宋"/>
          <w:color w:val="auto"/>
        </w:rPr>
        <w:t>1.3.4谈判小组应按照谈判文件规定推荐成交候选供应商或根据采购人的授权确定成交供应商。</w:t>
      </w:r>
    </w:p>
    <w:p>
      <w:pPr>
        <w:pStyle w:val="17"/>
        <w:widowControl/>
        <w:spacing w:beforeAutospacing="0" w:afterAutospacing="0" w:line="276" w:lineRule="auto"/>
        <w:ind w:firstLine="240" w:firstLineChars="100"/>
        <w:rPr>
          <w:rFonts w:ascii="仿宋" w:hAnsi="仿宋" w:eastAsia="仿宋" w:cs="仿宋"/>
          <w:color w:val="auto"/>
        </w:rPr>
      </w:pPr>
      <w:r>
        <w:rPr>
          <w:rFonts w:hint="eastAsia" w:ascii="仿宋" w:hAnsi="仿宋" w:eastAsia="仿宋" w:cs="仿宋"/>
          <w:color w:val="auto"/>
        </w:rPr>
        <w:t>1.3.5评审应遵守下列评审纪律：</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①评审情况不得私自外泄，有关信息由采购人或其委托的代理机构统一对外发布。</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②对采购人或供应商提供的要求保密的资料，不得摘记翻印和外传。</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③不得收受供应商或有关人员的任何礼物，不得串联鼓动其他人袒护某供应商。若与供应商存在利害关系，则应主动声明并回避。</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④全体谈判小组成员应按照谈判文件规定进行评审，一切认定事项应查有实据且不得弄虚作假。</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⑤评审中应充分发扬民主，推荐成交供应商候选人或根据采购人授权确定成交供应商后要服从评审报告。</w:t>
      </w:r>
    </w:p>
    <w:p>
      <w:pPr>
        <w:pStyle w:val="17"/>
        <w:widowControl/>
        <w:spacing w:beforeAutospacing="0" w:afterAutospacing="0" w:line="276" w:lineRule="auto"/>
        <w:ind w:firstLine="480"/>
        <w:rPr>
          <w:rStyle w:val="23"/>
          <w:rFonts w:ascii="仿宋" w:hAnsi="仿宋" w:eastAsia="仿宋" w:cs="仿宋"/>
          <w:color w:val="auto"/>
        </w:rPr>
      </w:pPr>
      <w:r>
        <w:rPr>
          <w:rStyle w:val="23"/>
          <w:rFonts w:hint="eastAsia" w:ascii="仿宋" w:hAnsi="仿宋" w:eastAsia="仿宋" w:cs="仿宋"/>
          <w:color w:val="auto"/>
        </w:rPr>
        <w:t>※对违反评审纪律的评委，将取消其评委资格，对评审工作造成严重损失者将予以通报批评乃至追究法律责任。</w:t>
      </w:r>
    </w:p>
    <w:p>
      <w:pPr>
        <w:pStyle w:val="17"/>
        <w:widowControl/>
        <w:spacing w:beforeAutospacing="0" w:afterAutospacing="0" w:line="276" w:lineRule="auto"/>
        <w:ind w:firstLine="480"/>
        <w:rPr>
          <w:rFonts w:ascii="仿宋" w:hAnsi="仿宋" w:eastAsia="仿宋" w:cs="仿宋"/>
          <w:color w:val="auto"/>
        </w:rPr>
      </w:pPr>
    </w:p>
    <w:p>
      <w:pPr>
        <w:pStyle w:val="17"/>
        <w:widowControl/>
        <w:spacing w:beforeAutospacing="0" w:afterAutospacing="0" w:line="276" w:lineRule="auto"/>
        <w:jc w:val="center"/>
        <w:rPr>
          <w:rFonts w:ascii="仿宋" w:hAnsi="仿宋" w:eastAsia="仿宋" w:cs="仿宋"/>
          <w:color w:val="auto"/>
        </w:rPr>
      </w:pPr>
      <w:bookmarkStart w:id="7" w:name="_Toc23953"/>
      <w:r>
        <w:rPr>
          <w:rFonts w:hint="eastAsia" w:ascii="仿宋" w:hAnsi="仿宋" w:eastAsia="仿宋" w:cs="仿宋"/>
          <w:b/>
          <w:bCs/>
          <w:color w:val="auto"/>
          <w:kern w:val="2"/>
          <w:sz w:val="24"/>
          <w:szCs w:val="24"/>
          <w:lang w:val="en-US" w:eastAsia="zh-CN" w:bidi="ar-SA"/>
        </w:rPr>
        <w:t>二、谈判程序</w:t>
      </w:r>
      <w:bookmarkEnd w:id="7"/>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2.1谈判程序按照谈判文件第二章第2节“竞争性谈判须知”第14条“谈判程序以及评定成交的标准”的相关条款规定执行。</w:t>
      </w:r>
    </w:p>
    <w:p>
      <w:pPr>
        <w:pStyle w:val="17"/>
        <w:widowControl/>
        <w:spacing w:beforeAutospacing="0" w:afterAutospacing="0" w:line="276" w:lineRule="auto"/>
        <w:ind w:firstLine="240"/>
        <w:rPr>
          <w:rFonts w:ascii="仿宋" w:hAnsi="仿宋" w:eastAsia="仿宋" w:cs="仿宋"/>
          <w:color w:val="auto"/>
        </w:rPr>
      </w:pPr>
      <w:r>
        <w:rPr>
          <w:rFonts w:hint="eastAsia" w:ascii="仿宋" w:hAnsi="仿宋" w:eastAsia="仿宋" w:cs="仿宋"/>
          <w:color w:val="auto"/>
        </w:rPr>
        <w:t>2.2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属于《政府采购非招标采购方式管理办法》等相关法律法规及财政部门颁布的规范性文件允许的两家供应商进行竞争性谈判采购情形，则提交最后报价的供应商可以为2家。</w:t>
      </w:r>
    </w:p>
    <w:p>
      <w:pPr>
        <w:pStyle w:val="17"/>
        <w:widowControl/>
        <w:spacing w:beforeAutospacing="0" w:afterAutospacing="0" w:line="276" w:lineRule="auto"/>
        <w:ind w:firstLine="240"/>
        <w:rPr>
          <w:rFonts w:ascii="仿宋" w:hAnsi="仿宋" w:eastAsia="仿宋" w:cs="仿宋"/>
          <w:color w:val="auto"/>
        </w:rPr>
      </w:pPr>
      <w:r>
        <w:rPr>
          <w:rFonts w:hint="eastAsia" w:ascii="仿宋" w:hAnsi="仿宋" w:eastAsia="仿宋" w:cs="仿宋"/>
          <w:color w:val="auto"/>
        </w:rPr>
        <w:t>中标人（谈判文件不能详细列明采购标的的技术、服务要求，需经谈判由供应商提供最终设计方案或解决方案的项目，则此文本框中用于填写推荐数量和投票细则等内容，由采购人根据谈判项目实际情况进行具体编制和明确规定）</w:t>
      </w:r>
    </w:p>
    <w:p>
      <w:pPr>
        <w:pStyle w:val="17"/>
        <w:widowControl/>
        <w:spacing w:beforeAutospacing="0" w:afterAutospacing="0" w:line="276" w:lineRule="auto"/>
        <w:ind w:firstLine="240"/>
        <w:rPr>
          <w:rFonts w:ascii="仿宋" w:hAnsi="仿宋" w:eastAsia="仿宋" w:cs="仿宋"/>
          <w:color w:val="auto"/>
        </w:rPr>
      </w:pPr>
      <w:r>
        <w:rPr>
          <w:rFonts w:hint="eastAsia" w:ascii="仿宋" w:hAnsi="仿宋" w:eastAsia="仿宋" w:cs="仿宋"/>
          <w:color w:val="auto"/>
        </w:rPr>
        <w:t>2.3只有资格审查和实质性响应审查均合格且按规定提交最后报价的合格供应商才能参加评定成交的最后价格排序和成交候选人推荐。</w:t>
      </w:r>
    </w:p>
    <w:p>
      <w:pPr>
        <w:pStyle w:val="17"/>
        <w:widowControl/>
        <w:spacing w:beforeAutospacing="0" w:afterAutospacing="0" w:line="276" w:lineRule="auto"/>
        <w:jc w:val="center"/>
        <w:rPr>
          <w:rFonts w:ascii="仿宋" w:hAnsi="仿宋" w:eastAsia="仿宋" w:cs="仿宋"/>
          <w:b/>
          <w:color w:val="auto"/>
        </w:rPr>
      </w:pPr>
      <w:r>
        <w:rPr>
          <w:rStyle w:val="23"/>
          <w:rFonts w:hint="eastAsia" w:ascii="仿宋" w:hAnsi="仿宋" w:eastAsia="仿宋" w:cs="仿宋"/>
          <w:color w:val="auto"/>
        </w:rPr>
        <w:t> </w:t>
      </w:r>
    </w:p>
    <w:p>
      <w:pPr>
        <w:pStyle w:val="17"/>
        <w:widowControl/>
        <w:spacing w:beforeAutospacing="0" w:afterAutospacing="0" w:line="276" w:lineRule="auto"/>
        <w:jc w:val="center"/>
        <w:rPr>
          <w:rFonts w:hint="eastAsia" w:ascii="仿宋" w:hAnsi="仿宋" w:eastAsia="仿宋" w:cs="仿宋"/>
          <w:b/>
          <w:bCs/>
          <w:color w:val="auto"/>
          <w:kern w:val="2"/>
          <w:sz w:val="24"/>
          <w:szCs w:val="24"/>
          <w:lang w:val="en-US" w:eastAsia="zh-CN" w:bidi="ar-SA"/>
        </w:rPr>
      </w:pPr>
      <w:bookmarkStart w:id="8" w:name="_Toc62"/>
      <w:r>
        <w:rPr>
          <w:rFonts w:hint="eastAsia" w:ascii="仿宋" w:hAnsi="仿宋" w:eastAsia="仿宋" w:cs="仿宋"/>
          <w:b/>
          <w:bCs/>
          <w:color w:val="auto"/>
          <w:kern w:val="2"/>
          <w:sz w:val="24"/>
          <w:szCs w:val="24"/>
          <w:lang w:val="en-US" w:eastAsia="zh-CN" w:bidi="ar-SA"/>
        </w:rPr>
        <w:t>三、最低评审价法和成交候选人推荐</w:t>
      </w:r>
      <w:bookmarkEnd w:id="8"/>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3.1谈判小组将采用最低评审价法对提交最后报价的合格供应商的响应文件和最后报价进行评审，并推荐成交候选人。如果谈判项目有多个合同包，则按相应合同包分别进行，具体评审的标准和方法如下：</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3.1.1根据财政部及福建省财政厅等有关政府采购文件规定执行价格评审优惠政策，价格扣除规则如下：</w:t>
      </w:r>
    </w:p>
    <w:p>
      <w:pPr>
        <w:pStyle w:val="17"/>
        <w:widowControl/>
        <w:spacing w:beforeAutospacing="0" w:afterAutospacing="0" w:line="276" w:lineRule="auto"/>
        <w:ind w:firstLine="480"/>
        <w:rPr>
          <w:rFonts w:ascii="仿宋" w:hAnsi="仿宋" w:eastAsia="仿宋" w:cs="仿宋"/>
          <w:b/>
          <w:bCs/>
          <w:color w:val="auto"/>
        </w:rPr>
      </w:pPr>
      <w:r>
        <w:rPr>
          <w:rFonts w:hint="eastAsia" w:ascii="仿宋" w:hAnsi="仿宋" w:eastAsia="仿宋" w:cs="仿宋"/>
          <w:b/>
          <w:bCs/>
          <w:color w:val="auto"/>
        </w:rPr>
        <w:t>包1</w:t>
      </w:r>
    </w:p>
    <w:p>
      <w:pPr>
        <w:pStyle w:val="17"/>
        <w:widowControl/>
        <w:numPr>
          <w:ilvl w:val="0"/>
          <w:numId w:val="4"/>
        </w:numPr>
        <w:spacing w:beforeAutospacing="0" w:afterAutospacing="0" w:line="276" w:lineRule="auto"/>
        <w:ind w:left="-60" w:leftChars="0" w:firstLine="480" w:firstLineChars="0"/>
        <w:rPr>
          <w:rFonts w:ascii="仿宋" w:hAnsi="仿宋" w:eastAsia="仿宋" w:cs="仿宋"/>
          <w:color w:val="auto"/>
        </w:rPr>
      </w:pPr>
      <w:r>
        <w:rPr>
          <w:rFonts w:hint="eastAsia" w:ascii="仿宋" w:hAnsi="仿宋" w:eastAsia="仿宋" w:cs="仿宋"/>
          <w:b/>
          <w:bCs/>
          <w:color w:val="auto"/>
        </w:rPr>
        <w:t>小型、微型企业产品：</w:t>
      </w:r>
      <w:r>
        <w:rPr>
          <w:rFonts w:hint="eastAsia" w:ascii="仿宋" w:hAnsi="仿宋" w:eastAsia="仿宋" w:cs="仿宋"/>
          <w:color w:val="auto"/>
          <w:lang w:eastAsia="zh-CN"/>
        </w:rPr>
        <w:t>无</w:t>
      </w:r>
    </w:p>
    <w:p>
      <w:pPr>
        <w:pStyle w:val="17"/>
        <w:widowControl/>
        <w:numPr>
          <w:ilvl w:val="0"/>
          <w:numId w:val="4"/>
        </w:numPr>
        <w:spacing w:beforeAutospacing="0" w:afterAutospacing="0" w:line="276" w:lineRule="auto"/>
        <w:ind w:left="-60" w:leftChars="0" w:firstLine="480" w:firstLineChars="0"/>
        <w:rPr>
          <w:rFonts w:ascii="仿宋" w:hAnsi="仿宋" w:eastAsia="仿宋" w:cs="仿宋"/>
          <w:color w:val="auto"/>
        </w:rPr>
      </w:pPr>
      <w:r>
        <w:rPr>
          <w:rFonts w:hint="eastAsia" w:ascii="仿宋" w:hAnsi="仿宋" w:eastAsia="仿宋" w:cs="仿宋"/>
          <w:b/>
          <w:bCs/>
          <w:color w:val="auto"/>
        </w:rPr>
        <w:t>优先类节能产品、环境标志产品：</w:t>
      </w:r>
      <w:r>
        <w:rPr>
          <w:rFonts w:hint="eastAsia" w:ascii="仿宋" w:hAnsi="仿宋" w:eastAsia="仿宋" w:cs="仿宋"/>
          <w:color w:val="auto"/>
        </w:rPr>
        <w:t xml:space="preserve">若同一合同包内节能、环境标志产品报价总金额低于本合同包报价总金额10%（含10%）以下，将给予节能、环境标志产品每个单项报价3%的价格扣除；若同一合同包内节能、环境标志产品报价总金额占本合同包报价总金额10%-30%（含30%），将给予节能、环境标志产品每个单项报价6%的价格扣除；若同一合同包内节能、环境标志产品报价总金额占本合同包报价总金额30%-50%（含50%），将给予节能、环境标志产品每个单项报价8%的价格扣除；若同一合同包内节能、环境标志产品报价总金额超过本合同包报价总金额50%以上，将给予节能、环境标志产品每个单项报价10%的价格扣除。c.若节能、环境标志产品仅是构成投标产品的部件、组件或零件，则该投标产品不享受鼓励优惠政策。同一品目中各认证证书不重复计算价格扣除。属于政府强制采购的节能产品不享受价格扣除。 </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c.其他：无。</w:t>
      </w:r>
    </w:p>
    <w:p>
      <w:pPr>
        <w:pStyle w:val="17"/>
        <w:widowControl/>
        <w:spacing w:beforeAutospacing="0" w:afterAutospacing="0" w:line="276" w:lineRule="auto"/>
        <w:ind w:firstLine="465"/>
        <w:rPr>
          <w:rFonts w:ascii="仿宋" w:hAnsi="仿宋" w:eastAsia="仿宋" w:cs="仿宋"/>
          <w:color w:val="auto"/>
        </w:rPr>
      </w:pPr>
      <w:r>
        <w:rPr>
          <w:rFonts w:hint="eastAsia" w:ascii="仿宋" w:hAnsi="仿宋" w:eastAsia="仿宋" w:cs="仿宋"/>
          <w:color w:val="auto"/>
        </w:rPr>
        <w:t>3.1.2合格供应商提交的最后报价按照上文3.1.1款规定的价格扣除规则计算后，得出的价格称为最后报价评审价。</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3.1.3谈判小组将从质量和服务均能满足采购文件实质性响应要求的供应商中，按照最后报价评审价由低到高的顺序提出3名以上成交候选人，并编写评审报告。属于《政府采购非招标采购方式管理办法》等相关法律法规及财政部门颁布的规范性文件允许的两家供应商进行竞争性谈判采购情形，则可以按照最后报价由低到高的顺序提出2名成交候选人。如果成交候选人出现并列相同的最低评审价，则按照以下方式和顺序进行处理：</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（1）</w:t>
      </w:r>
      <w:r>
        <w:rPr>
          <w:rFonts w:hint="eastAsia" w:ascii="仿宋" w:hAnsi="仿宋" w:eastAsia="仿宋" w:cs="仿宋"/>
          <w:b/>
          <w:bCs/>
          <w:color w:val="auto"/>
        </w:rPr>
        <w:t>谈判文件可以约定出现并列最低评审价情形时的优先顺序规则，具体规则为：</w:t>
      </w:r>
      <w:r>
        <w:rPr>
          <w:rFonts w:hint="eastAsia" w:ascii="仿宋" w:hAnsi="仿宋" w:eastAsia="仿宋" w:cs="仿宋"/>
          <w:color w:val="auto"/>
        </w:rPr>
        <w:t>若最低评审价相同，则报价产品拥有节能、减排、环境标志认证数量最多的供应商将被推荐为成交候选供应商，若拥有认证数量相同，则按报价产品的技术指标、售后服务、供应商综合实力排序推荐成交候选供应商。</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（2）谈判文件未约定优先顺序规则时，则由谈判小组中的采购人代表从并列最低评审价名单中自行选择确定优先顺序</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（3）采购人代表放弃自行选择确定权利的，则通过随机抽取方式确定优先顺序。</w:t>
      </w:r>
    </w:p>
    <w:p>
      <w:pPr>
        <w:pStyle w:val="17"/>
        <w:widowControl/>
        <w:spacing w:beforeAutospacing="0" w:afterAutospacing="0" w:line="276" w:lineRule="auto"/>
        <w:jc w:val="center"/>
        <w:outlineLvl w:val="1"/>
        <w:rPr>
          <w:rStyle w:val="23"/>
          <w:rFonts w:ascii="仿宋" w:hAnsi="仿宋" w:eastAsia="仿宋" w:cs="仿宋"/>
          <w:color w:val="auto"/>
        </w:rPr>
      </w:pPr>
      <w:bookmarkStart w:id="9" w:name="_Toc9566"/>
    </w:p>
    <w:p>
      <w:pPr>
        <w:pStyle w:val="17"/>
        <w:widowControl/>
        <w:spacing w:beforeAutospacing="0" w:afterAutospacing="0" w:line="276" w:lineRule="auto"/>
        <w:jc w:val="center"/>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四、评审报告</w:t>
      </w:r>
      <w:bookmarkEnd w:id="9"/>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4.1谈判小组完成评审后，应当编写评审报告并提交给采购人。</w:t>
      </w:r>
    </w:p>
    <w:p>
      <w:pPr>
        <w:pStyle w:val="17"/>
        <w:widowControl/>
        <w:spacing w:beforeAutospacing="0" w:afterAutospacing="0" w:line="276" w:lineRule="auto"/>
        <w:ind w:firstLine="240"/>
        <w:rPr>
          <w:rFonts w:ascii="仿宋" w:hAnsi="仿宋" w:eastAsia="仿宋" w:cs="仿宋"/>
          <w:color w:val="auto"/>
        </w:rPr>
      </w:pPr>
      <w:r>
        <w:rPr>
          <w:rFonts w:hint="eastAsia" w:ascii="仿宋" w:hAnsi="仿宋" w:eastAsia="仿宋" w:cs="仿宋"/>
          <w:color w:val="auto"/>
        </w:rPr>
        <w:t>4.2评审报告应当包括以下主要内容：</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（一）邀请供应商参加采购活动的具体方式和相关情况，以及参加采购活动的供应商名单；</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（二）评审日期和地点，谈判小组成员名单；</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（三）评审情况记录和说明，包括对供应商的资格审查情况、供应商响应文件评审情况、谈判情况、报价情况等；</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（四）提出的成交候选人的名单及理由。</w:t>
      </w:r>
    </w:p>
    <w:p>
      <w:pPr>
        <w:pStyle w:val="17"/>
        <w:widowControl/>
        <w:spacing w:beforeAutospacing="0" w:afterAutospacing="0" w:line="276" w:lineRule="auto"/>
        <w:ind w:firstLine="240"/>
        <w:rPr>
          <w:rFonts w:ascii="仿宋" w:hAnsi="仿宋" w:eastAsia="仿宋" w:cs="仿宋"/>
          <w:color w:val="auto"/>
        </w:rPr>
      </w:pPr>
      <w:r>
        <w:rPr>
          <w:rFonts w:hint="eastAsia" w:ascii="仿宋" w:hAnsi="仿宋" w:eastAsia="仿宋" w:cs="仿宋"/>
          <w:color w:val="auto"/>
        </w:rPr>
        <w:t>4.3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 </w:t>
      </w:r>
    </w:p>
    <w:p>
      <w:pPr>
        <w:pStyle w:val="17"/>
        <w:widowControl/>
        <w:spacing w:beforeAutospacing="0" w:afterAutospacing="0" w:line="276" w:lineRule="auto"/>
        <w:jc w:val="center"/>
        <w:outlineLvl w:val="1"/>
        <w:rPr>
          <w:rFonts w:ascii="仿宋" w:hAnsi="仿宋" w:eastAsia="仿宋" w:cs="仿宋"/>
          <w:color w:val="auto"/>
        </w:rPr>
      </w:pPr>
      <w:bookmarkStart w:id="10" w:name="_Toc12594"/>
      <w:r>
        <w:rPr>
          <w:rFonts w:hint="eastAsia" w:ascii="仿宋" w:hAnsi="仿宋" w:eastAsia="仿宋" w:cs="仿宋"/>
          <w:b/>
          <w:bCs/>
          <w:color w:val="auto"/>
          <w:kern w:val="2"/>
          <w:sz w:val="24"/>
          <w:szCs w:val="24"/>
          <w:lang w:val="en-US" w:eastAsia="zh-CN" w:bidi="ar-SA"/>
        </w:rPr>
        <w:t>五、其他规定</w:t>
      </w:r>
      <w:bookmarkEnd w:id="10"/>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5.1其他规定</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5.1.1评审应全程保密且不得透露给任一供应商或与评审工作无关的人员。</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5.1.2评审将进行全程实时录音录像，录音录像资料随采购文件一并存档。</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5.1.3若供应商有任何试图干扰具体评审事务，影响谈判小组独立履行职责的行为，其响应无效且不予退还谈判保证金。情节严重的，由财政部门列入不良行为记录。</w:t>
      </w:r>
    </w:p>
    <w:p>
      <w:pPr>
        <w:pStyle w:val="17"/>
        <w:widowControl/>
        <w:spacing w:beforeAutospacing="0" w:afterAutospacing="0" w:line="276" w:lineRule="auto"/>
        <w:ind w:firstLine="480"/>
        <w:rPr>
          <w:rStyle w:val="23"/>
          <w:rFonts w:ascii="仿宋" w:hAnsi="仿宋" w:eastAsia="仿宋" w:cs="仿宋"/>
          <w:b w:val="0"/>
          <w:color w:val="auto"/>
        </w:rPr>
      </w:pPr>
      <w:r>
        <w:rPr>
          <w:rFonts w:hint="eastAsia" w:ascii="仿宋" w:hAnsi="仿宋" w:eastAsia="仿宋" w:cs="仿宋"/>
          <w:color w:val="auto"/>
        </w:rPr>
        <w:t>5.1.4根据采购项目的特点和需要，需要加以详细说明的其他谈判程序规定、要求等内容：无。</w:t>
      </w:r>
      <w:bookmarkStart w:id="11" w:name="_Toc29703"/>
    </w:p>
    <w:p>
      <w:pPr>
        <w:widowControl/>
        <w:jc w:val="left"/>
        <w:rPr>
          <w:rStyle w:val="23"/>
          <w:rFonts w:ascii="仿宋" w:hAnsi="仿宋" w:eastAsia="仿宋" w:cs="仿宋"/>
          <w:color w:val="auto"/>
          <w:kern w:val="0"/>
          <w:sz w:val="24"/>
        </w:rPr>
      </w:pPr>
      <w:r>
        <w:rPr>
          <w:rStyle w:val="23"/>
          <w:rFonts w:ascii="仿宋" w:hAnsi="仿宋" w:eastAsia="仿宋" w:cs="仿宋"/>
          <w:color w:val="auto"/>
        </w:rPr>
        <w:br w:type="page"/>
      </w:r>
    </w:p>
    <w:p>
      <w:pPr>
        <w:pStyle w:val="17"/>
        <w:widowControl/>
        <w:spacing w:before="75" w:beforeAutospacing="0" w:after="75" w:afterAutospacing="0"/>
        <w:jc w:val="center"/>
        <w:outlineLvl w:val="0"/>
        <w:rPr>
          <w:rFonts w:ascii="仿宋" w:hAnsi="仿宋" w:eastAsia="仿宋" w:cs="仿宋"/>
          <w:color w:val="auto"/>
        </w:rPr>
      </w:pPr>
      <w:bookmarkStart w:id="12" w:name="_Toc6619"/>
      <w:r>
        <w:rPr>
          <w:rStyle w:val="23"/>
          <w:rFonts w:hint="eastAsia" w:ascii="仿宋" w:hAnsi="仿宋" w:eastAsia="仿宋" w:cs="仿宋"/>
          <w:color w:val="auto"/>
        </w:rPr>
        <w:t>第2节  竞争性谈判须知</w:t>
      </w:r>
      <w:bookmarkEnd w:id="11"/>
      <w:bookmarkEnd w:id="12"/>
    </w:p>
    <w:p>
      <w:pPr>
        <w:pStyle w:val="17"/>
        <w:widowControl/>
        <w:spacing w:before="75" w:beforeAutospacing="0" w:after="75" w:afterAutospacing="0"/>
        <w:jc w:val="center"/>
        <w:rPr>
          <w:rFonts w:ascii="仿宋" w:hAnsi="仿宋" w:eastAsia="仿宋" w:cs="仿宋"/>
          <w:color w:val="auto"/>
        </w:rPr>
      </w:pPr>
      <w:r>
        <w:rPr>
          <w:rStyle w:val="23"/>
          <w:rFonts w:hint="eastAsia" w:ascii="仿宋" w:hAnsi="仿宋" w:eastAsia="仿宋" w:cs="仿宋"/>
          <w:color w:val="auto"/>
        </w:rPr>
        <w:t>一、总则</w:t>
      </w:r>
    </w:p>
    <w:p>
      <w:pPr>
        <w:pStyle w:val="17"/>
        <w:widowControl/>
        <w:spacing w:beforeAutospacing="0" w:afterAutospacing="0" w:line="435" w:lineRule="atLeast"/>
        <w:rPr>
          <w:rFonts w:ascii="仿宋" w:hAnsi="仿宋" w:eastAsia="仿宋" w:cs="仿宋"/>
          <w:color w:val="auto"/>
        </w:rPr>
      </w:pPr>
      <w:r>
        <w:rPr>
          <w:rStyle w:val="23"/>
          <w:rFonts w:hint="eastAsia" w:ascii="仿宋" w:hAnsi="仿宋" w:eastAsia="仿宋" w:cs="仿宋"/>
          <w:color w:val="auto"/>
        </w:rPr>
        <w:t>1.适用范围：</w:t>
      </w:r>
    </w:p>
    <w:p>
      <w:pPr>
        <w:pStyle w:val="17"/>
        <w:widowControl/>
        <w:spacing w:beforeAutospacing="0" w:afterAutospacing="0" w:line="435" w:lineRule="atLeast"/>
        <w:ind w:firstLine="480"/>
        <w:rPr>
          <w:rFonts w:ascii="仿宋" w:hAnsi="仿宋" w:eastAsia="仿宋" w:cs="仿宋"/>
          <w:color w:val="auto"/>
        </w:rPr>
      </w:pPr>
      <w:r>
        <w:rPr>
          <w:rFonts w:hint="eastAsia" w:ascii="仿宋" w:hAnsi="仿宋" w:eastAsia="仿宋" w:cs="仿宋"/>
          <w:color w:val="auto"/>
        </w:rPr>
        <w:t>1.1适用于谈判文件载明项目的采购活动（以下简称：“本次采购活动”）。</w:t>
      </w:r>
    </w:p>
    <w:p>
      <w:pPr>
        <w:pStyle w:val="17"/>
        <w:widowControl/>
        <w:spacing w:beforeAutospacing="0" w:afterAutospacing="0" w:line="435" w:lineRule="atLeast"/>
        <w:rPr>
          <w:rFonts w:ascii="仿宋" w:hAnsi="仿宋" w:eastAsia="仿宋" w:cs="仿宋"/>
          <w:color w:val="auto"/>
        </w:rPr>
      </w:pPr>
      <w:r>
        <w:rPr>
          <w:rStyle w:val="23"/>
          <w:rFonts w:hint="eastAsia" w:ascii="仿宋" w:hAnsi="仿宋" w:eastAsia="仿宋" w:cs="仿宋"/>
          <w:color w:val="auto"/>
        </w:rPr>
        <w:t>2.定义及要求：</w:t>
      </w:r>
    </w:p>
    <w:p>
      <w:pPr>
        <w:pStyle w:val="17"/>
        <w:widowControl/>
        <w:spacing w:beforeAutospacing="0" w:afterAutospacing="0" w:line="435" w:lineRule="atLeast"/>
        <w:ind w:firstLine="480"/>
        <w:rPr>
          <w:rFonts w:ascii="仿宋" w:hAnsi="仿宋" w:eastAsia="仿宋" w:cs="仿宋"/>
          <w:color w:val="auto"/>
        </w:rPr>
      </w:pPr>
      <w:r>
        <w:rPr>
          <w:rFonts w:hint="eastAsia" w:ascii="仿宋" w:hAnsi="仿宋" w:eastAsia="仿宋" w:cs="仿宋"/>
          <w:color w:val="auto"/>
        </w:rPr>
        <w:t>2.1“采购标的”指谈判文件载明的需要采购的货物、服务、工程。</w:t>
      </w:r>
    </w:p>
    <w:p>
      <w:pPr>
        <w:pStyle w:val="17"/>
        <w:widowControl/>
        <w:spacing w:beforeAutospacing="0" w:afterAutospacing="0" w:line="435" w:lineRule="atLeast"/>
        <w:ind w:firstLine="480"/>
        <w:rPr>
          <w:rFonts w:ascii="仿宋" w:hAnsi="仿宋" w:eastAsia="仿宋" w:cs="仿宋"/>
          <w:color w:val="auto"/>
        </w:rPr>
      </w:pPr>
      <w:r>
        <w:rPr>
          <w:rFonts w:hint="eastAsia" w:ascii="仿宋" w:hAnsi="仿宋" w:eastAsia="仿宋" w:cs="仿宋"/>
          <w:color w:val="auto"/>
        </w:rPr>
        <w:t>2.2“采购人”指本次采购项目的买方、或业主方、或甲方，具体见谈判文件第一章；“采购代理机构”系指接受采购人委托，组织开展竞争性谈判采购活动的代理机构，具体见谈判文件第一章。</w:t>
      </w:r>
    </w:p>
    <w:p>
      <w:pPr>
        <w:pStyle w:val="17"/>
        <w:widowControl/>
        <w:spacing w:beforeAutospacing="0" w:afterAutospacing="0" w:line="435" w:lineRule="atLeast"/>
        <w:ind w:firstLine="480"/>
        <w:rPr>
          <w:rFonts w:ascii="仿宋" w:hAnsi="仿宋" w:eastAsia="仿宋" w:cs="仿宋"/>
          <w:color w:val="auto"/>
        </w:rPr>
      </w:pPr>
      <w:r>
        <w:rPr>
          <w:rFonts w:hint="eastAsia" w:ascii="仿宋" w:hAnsi="仿宋" w:eastAsia="仿宋" w:cs="仿宋"/>
          <w:color w:val="auto"/>
        </w:rPr>
        <w:t>2.3“潜在供应商”按照谈判文件第一章规定进行报名，且有意向参加本项目响应谈判的供应商。</w:t>
      </w:r>
    </w:p>
    <w:p>
      <w:pPr>
        <w:pStyle w:val="17"/>
        <w:widowControl/>
        <w:spacing w:beforeAutospacing="0" w:afterAutospacing="0" w:line="435" w:lineRule="atLeast"/>
        <w:ind w:firstLine="480"/>
        <w:rPr>
          <w:rFonts w:ascii="仿宋" w:hAnsi="仿宋" w:eastAsia="仿宋" w:cs="仿宋"/>
          <w:color w:val="auto"/>
        </w:rPr>
      </w:pPr>
      <w:r>
        <w:rPr>
          <w:rFonts w:hint="eastAsia" w:ascii="仿宋" w:hAnsi="仿宋" w:eastAsia="仿宋" w:cs="仿宋"/>
          <w:color w:val="auto"/>
        </w:rPr>
        <w:t>2.4“供应商”指按照谈判文件第一章规定进行报名，且已经提交响应文件的法人或其他组织或自然人。只有适合自然人参与和承接的政府采购项目，供应商才可以是自然人。</w:t>
      </w:r>
    </w:p>
    <w:p>
      <w:pPr>
        <w:pStyle w:val="17"/>
        <w:widowControl/>
        <w:spacing w:beforeAutospacing="0" w:afterAutospacing="0" w:line="435" w:lineRule="atLeast"/>
        <w:ind w:firstLine="480"/>
        <w:rPr>
          <w:rFonts w:ascii="仿宋" w:hAnsi="仿宋" w:eastAsia="仿宋" w:cs="仿宋"/>
          <w:color w:val="auto"/>
        </w:rPr>
      </w:pPr>
      <w:r>
        <w:rPr>
          <w:rFonts w:hint="eastAsia" w:ascii="仿宋" w:hAnsi="仿宋" w:eastAsia="仿宋" w:cs="仿宋"/>
          <w:color w:val="auto"/>
        </w:rPr>
        <w:t>2.5“单位负责人”指单位法定代表人（供应商为法人的）或法律、法规规定代表单位行使职权的主要负责人（供应商为其他组织的）。</w:t>
      </w:r>
    </w:p>
    <w:p>
      <w:pPr>
        <w:pStyle w:val="17"/>
        <w:widowControl/>
        <w:spacing w:beforeAutospacing="0" w:afterAutospacing="0" w:line="435" w:lineRule="atLeast"/>
        <w:ind w:firstLine="480"/>
        <w:rPr>
          <w:rFonts w:ascii="仿宋" w:hAnsi="仿宋" w:eastAsia="仿宋" w:cs="仿宋"/>
          <w:color w:val="auto"/>
        </w:rPr>
      </w:pPr>
      <w:r>
        <w:rPr>
          <w:rFonts w:hint="eastAsia" w:ascii="仿宋" w:hAnsi="仿宋" w:eastAsia="仿宋" w:cs="仿宋"/>
          <w:color w:val="auto"/>
        </w:rPr>
        <w:t>2.6“供应商代表”指供应商（为法人或其他组织的）的单位负责人或由其授权的委托代理人，即单位负责人授权书中载明的接受授权方。供应商为自然人的，由本人签字并附身份证明。</w:t>
      </w:r>
    </w:p>
    <w:p>
      <w:pPr>
        <w:pStyle w:val="17"/>
        <w:widowControl/>
        <w:spacing w:beforeAutospacing="0" w:afterAutospacing="0" w:line="435" w:lineRule="atLeast"/>
        <w:rPr>
          <w:rFonts w:ascii="仿宋" w:hAnsi="仿宋" w:eastAsia="仿宋" w:cs="仿宋"/>
          <w:color w:val="auto"/>
        </w:rPr>
      </w:pPr>
      <w:r>
        <w:rPr>
          <w:rStyle w:val="23"/>
          <w:rFonts w:hint="eastAsia" w:ascii="仿宋" w:hAnsi="仿宋" w:eastAsia="仿宋" w:cs="仿宋"/>
          <w:color w:val="auto"/>
        </w:rPr>
        <w:t>3.合格的供应商：</w:t>
      </w:r>
    </w:p>
    <w:p>
      <w:pPr>
        <w:pStyle w:val="17"/>
        <w:widowControl/>
        <w:spacing w:beforeAutospacing="0" w:afterAutospacing="0" w:line="435" w:lineRule="atLeast"/>
        <w:ind w:firstLine="480"/>
        <w:rPr>
          <w:rFonts w:ascii="仿宋" w:hAnsi="仿宋" w:eastAsia="仿宋" w:cs="仿宋"/>
          <w:color w:val="auto"/>
        </w:rPr>
      </w:pPr>
      <w:r>
        <w:rPr>
          <w:rFonts w:hint="eastAsia" w:ascii="仿宋" w:hAnsi="仿宋" w:eastAsia="仿宋" w:cs="仿宋"/>
          <w:color w:val="auto"/>
        </w:rPr>
        <w:t>3.1一般规定</w:t>
      </w:r>
    </w:p>
    <w:p>
      <w:pPr>
        <w:pStyle w:val="17"/>
        <w:widowControl/>
        <w:spacing w:beforeAutospacing="0" w:afterAutospacing="0" w:line="435" w:lineRule="atLeast"/>
        <w:ind w:firstLine="480"/>
        <w:rPr>
          <w:rFonts w:ascii="仿宋" w:hAnsi="仿宋" w:eastAsia="仿宋" w:cs="仿宋"/>
          <w:color w:val="auto"/>
        </w:rPr>
      </w:pPr>
      <w:r>
        <w:rPr>
          <w:rFonts w:hint="eastAsia" w:ascii="仿宋" w:hAnsi="仿宋" w:eastAsia="仿宋" w:cs="仿宋"/>
          <w:color w:val="auto"/>
        </w:rPr>
        <w:t>3.1.1供应商应当遵守中国的有关法律、法规和规章的规定，参加政府采购活动时已经自觉检查并按照政府采购相关法律规定，主动回避相应利害关系。</w:t>
      </w:r>
    </w:p>
    <w:p>
      <w:pPr>
        <w:pStyle w:val="17"/>
        <w:widowControl/>
        <w:spacing w:beforeAutospacing="0" w:afterAutospacing="0" w:line="435" w:lineRule="atLeast"/>
        <w:ind w:firstLine="480"/>
        <w:rPr>
          <w:rFonts w:ascii="仿宋" w:hAnsi="仿宋" w:eastAsia="仿宋" w:cs="仿宋"/>
          <w:color w:val="auto"/>
        </w:rPr>
      </w:pPr>
      <w:r>
        <w:rPr>
          <w:rFonts w:hint="eastAsia" w:ascii="仿宋" w:hAnsi="仿宋" w:eastAsia="仿宋" w:cs="仿宋"/>
          <w:color w:val="auto"/>
        </w:rPr>
        <w:t>3.1.2为采购项目提供整体设计、规范编制或项目管理、监理、检测等服务的供应商，不得再参加该采购项目除整体设计、规范编制和项目管理、监理、检测等服务之外的其他采购活动</w:t>
      </w:r>
      <w:r>
        <w:rPr>
          <w:rStyle w:val="23"/>
          <w:rFonts w:hint="eastAsia" w:ascii="仿宋" w:hAnsi="仿宋" w:eastAsia="仿宋" w:cs="仿宋"/>
          <w:color w:val="auto"/>
        </w:rPr>
        <w:t>。</w:t>
      </w:r>
    </w:p>
    <w:p>
      <w:pPr>
        <w:pStyle w:val="17"/>
        <w:widowControl/>
        <w:spacing w:beforeAutospacing="0" w:afterAutospacing="0" w:line="435" w:lineRule="atLeast"/>
        <w:ind w:firstLine="480"/>
        <w:rPr>
          <w:rFonts w:ascii="仿宋" w:hAnsi="仿宋" w:eastAsia="仿宋" w:cs="仿宋"/>
          <w:color w:val="auto"/>
        </w:rPr>
      </w:pPr>
      <w:r>
        <w:rPr>
          <w:rFonts w:hint="eastAsia" w:ascii="仿宋" w:hAnsi="仿宋" w:eastAsia="仿宋" w:cs="仿宋"/>
          <w:color w:val="auto"/>
        </w:rPr>
        <w:t>3.1.3列入失信被执行人、重大税收违法案件当事人名单、政府采购严重违法失信行为记录名单及其他不符合《中华人民共和国政府采购法》第二十二条规定条件的供应商，不得参加政府采购活动</w:t>
      </w:r>
      <w:r>
        <w:rPr>
          <w:rStyle w:val="23"/>
          <w:rFonts w:hint="eastAsia" w:ascii="仿宋" w:hAnsi="仿宋" w:eastAsia="仿宋" w:cs="仿宋"/>
          <w:color w:val="auto"/>
        </w:rPr>
        <w:t>。</w:t>
      </w:r>
    </w:p>
    <w:p>
      <w:pPr>
        <w:pStyle w:val="17"/>
        <w:widowControl/>
        <w:spacing w:beforeAutospacing="0" w:afterAutospacing="0" w:line="435" w:lineRule="atLeast"/>
        <w:ind w:firstLine="480"/>
        <w:rPr>
          <w:rFonts w:ascii="仿宋" w:hAnsi="仿宋" w:eastAsia="仿宋" w:cs="仿宋"/>
          <w:color w:val="auto"/>
        </w:rPr>
      </w:pPr>
      <w:r>
        <w:rPr>
          <w:rStyle w:val="23"/>
          <w:rFonts w:hint="eastAsia" w:ascii="仿宋" w:hAnsi="仿宋" w:eastAsia="仿宋" w:cs="仿宋"/>
          <w:color w:val="auto"/>
        </w:rPr>
        <w:t>供应商有责任检查自身情况，在响应文件中对是否违反以上一般规定做出如实声明，否则其响应文件将被否决。</w:t>
      </w:r>
    </w:p>
    <w:p>
      <w:pPr>
        <w:pStyle w:val="17"/>
        <w:widowControl/>
        <w:spacing w:beforeAutospacing="0" w:afterAutospacing="0" w:line="435" w:lineRule="atLeast"/>
        <w:ind w:firstLine="480"/>
        <w:rPr>
          <w:rFonts w:ascii="仿宋" w:hAnsi="仿宋" w:eastAsia="仿宋" w:cs="仿宋"/>
          <w:color w:val="auto"/>
        </w:rPr>
      </w:pPr>
      <w:r>
        <w:rPr>
          <w:rFonts w:hint="eastAsia" w:ascii="仿宋" w:hAnsi="仿宋" w:eastAsia="仿宋" w:cs="仿宋"/>
          <w:color w:val="auto"/>
        </w:rPr>
        <w:t>3.2特别规定</w:t>
      </w:r>
    </w:p>
    <w:p>
      <w:pPr>
        <w:pStyle w:val="17"/>
        <w:widowControl/>
        <w:spacing w:beforeAutospacing="0" w:afterAutospacing="0" w:line="435" w:lineRule="atLeast"/>
        <w:ind w:firstLine="480"/>
        <w:rPr>
          <w:rFonts w:ascii="仿宋" w:hAnsi="仿宋" w:eastAsia="仿宋" w:cs="仿宋"/>
          <w:color w:val="auto"/>
        </w:rPr>
      </w:pPr>
      <w:r>
        <w:rPr>
          <w:rFonts w:hint="eastAsia" w:ascii="仿宋" w:hAnsi="仿宋" w:eastAsia="仿宋" w:cs="仿宋"/>
          <w:color w:val="auto"/>
        </w:rPr>
        <w:t>3.2.1供应商的资格要求：详见竞争性谈判须知前附表第1项。</w:t>
      </w:r>
    </w:p>
    <w:p>
      <w:pPr>
        <w:pStyle w:val="17"/>
        <w:widowControl/>
        <w:spacing w:beforeAutospacing="0" w:afterAutospacing="0" w:line="435" w:lineRule="atLeast"/>
        <w:ind w:firstLine="480"/>
        <w:rPr>
          <w:rFonts w:ascii="仿宋" w:hAnsi="仿宋" w:eastAsia="仿宋" w:cs="仿宋"/>
          <w:color w:val="auto"/>
        </w:rPr>
      </w:pPr>
      <w:r>
        <w:rPr>
          <w:rFonts w:hint="eastAsia" w:ascii="仿宋" w:hAnsi="仿宋" w:eastAsia="仿宋" w:cs="仿宋"/>
          <w:color w:val="auto"/>
        </w:rPr>
        <w:t>3.2.2是否接受联合体形式的响应谈判：详见竞争性谈判须知前附表第2项。若接受联合体形式且供应商为联合体，则联合体各方除了应遵守本章第3.1条规定外，还应遵守下列规定：</w:t>
      </w:r>
    </w:p>
    <w:p>
      <w:pPr>
        <w:pStyle w:val="17"/>
        <w:widowControl/>
        <w:spacing w:beforeAutospacing="0" w:afterAutospacing="0" w:line="435" w:lineRule="atLeast"/>
        <w:ind w:firstLine="480"/>
        <w:rPr>
          <w:rFonts w:hint="eastAsia" w:ascii="仿宋" w:hAnsi="仿宋" w:eastAsia="仿宋" w:cs="仿宋"/>
          <w:color w:val="auto"/>
        </w:rPr>
      </w:pPr>
      <w:r>
        <w:rPr>
          <w:rFonts w:hint="eastAsia" w:ascii="仿宋" w:hAnsi="仿宋" w:eastAsia="仿宋" w:cs="仿宋"/>
          <w:color w:val="auto"/>
        </w:rPr>
        <w:t>（1）联合体各方应提交联合体协议，联合体协议应符合谈判文件规定。</w:t>
      </w:r>
    </w:p>
    <w:p>
      <w:pPr>
        <w:pStyle w:val="17"/>
        <w:widowControl/>
        <w:spacing w:beforeAutospacing="0" w:afterAutospacing="0" w:line="435" w:lineRule="atLeast"/>
        <w:ind w:firstLine="480"/>
        <w:rPr>
          <w:rFonts w:hint="eastAsia" w:ascii="仿宋" w:hAnsi="仿宋" w:eastAsia="仿宋" w:cs="仿宋"/>
          <w:color w:val="auto"/>
        </w:rPr>
      </w:pPr>
      <w:r>
        <w:rPr>
          <w:rFonts w:hint="eastAsia" w:ascii="仿宋" w:hAnsi="仿宋" w:eastAsia="仿宋" w:cs="仿宋"/>
          <w:color w:val="auto"/>
        </w:rPr>
        <w:t>（2）联合体各方不得再单独参加或与其他供应商另外组成联合体参加同一合同项下的响应谈判。</w:t>
      </w:r>
    </w:p>
    <w:p>
      <w:pPr>
        <w:pStyle w:val="17"/>
        <w:widowControl/>
        <w:spacing w:beforeAutospacing="0" w:afterAutospacing="0" w:line="435" w:lineRule="atLeast"/>
        <w:ind w:firstLine="480"/>
        <w:rPr>
          <w:rFonts w:hint="eastAsia" w:ascii="仿宋" w:hAnsi="仿宋" w:eastAsia="仿宋" w:cs="仿宋"/>
          <w:color w:val="auto"/>
        </w:rPr>
      </w:pPr>
      <w:r>
        <w:rPr>
          <w:rFonts w:hint="eastAsia" w:ascii="仿宋" w:hAnsi="仿宋" w:eastAsia="仿宋" w:cs="仿宋"/>
          <w:color w:val="auto"/>
        </w:rPr>
        <w:t>（3）联合体各方应共同与采购人签订政府采购合同，就政府采购合同约定的事项对采购人承担连带责任。</w:t>
      </w:r>
    </w:p>
    <w:p>
      <w:pPr>
        <w:pStyle w:val="17"/>
        <w:widowControl/>
        <w:spacing w:beforeAutospacing="0" w:afterAutospacing="0" w:line="435" w:lineRule="atLeast"/>
        <w:ind w:firstLine="480"/>
        <w:rPr>
          <w:rFonts w:hint="eastAsia" w:ascii="仿宋" w:hAnsi="仿宋" w:eastAsia="仿宋" w:cs="仿宋"/>
          <w:color w:val="auto"/>
        </w:rPr>
      </w:pPr>
      <w:r>
        <w:rPr>
          <w:rFonts w:hint="eastAsia" w:ascii="仿宋" w:hAnsi="仿宋" w:eastAsia="仿宋" w:cs="仿宋"/>
          <w:color w:val="auto"/>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7"/>
        <w:widowControl/>
        <w:spacing w:beforeAutospacing="0" w:afterAutospacing="0" w:line="435" w:lineRule="atLeast"/>
        <w:ind w:firstLine="480"/>
        <w:rPr>
          <w:rFonts w:hint="eastAsia" w:ascii="仿宋" w:hAnsi="仿宋" w:eastAsia="仿宋" w:cs="仿宋"/>
          <w:color w:val="auto"/>
        </w:rPr>
      </w:pPr>
      <w:r>
        <w:rPr>
          <w:rFonts w:hint="eastAsia" w:ascii="仿宋" w:hAnsi="仿宋" w:eastAsia="仿宋" w:cs="仿宋"/>
          <w:color w:val="auto"/>
        </w:rPr>
        <w:t>（5）联合体一方放弃成交的，视为联合体整体放弃成交，联合体各方承担连带责任。</w:t>
      </w:r>
    </w:p>
    <w:p>
      <w:pPr>
        <w:pStyle w:val="17"/>
        <w:widowControl/>
        <w:spacing w:beforeAutospacing="0" w:afterAutospacing="0" w:line="435" w:lineRule="atLeast"/>
        <w:ind w:firstLine="480"/>
        <w:rPr>
          <w:rFonts w:hint="eastAsia" w:ascii="仿宋" w:hAnsi="仿宋" w:eastAsia="仿宋" w:cs="仿宋"/>
          <w:color w:val="auto"/>
        </w:rPr>
      </w:pPr>
      <w:r>
        <w:rPr>
          <w:rFonts w:hint="eastAsia" w:ascii="仿宋" w:hAnsi="仿宋" w:eastAsia="仿宋" w:cs="仿宋"/>
          <w:color w:val="auto"/>
        </w:rPr>
        <w:t>（6）如本项目不接受联合体报价而供应商为联合体的，或者本项目接受联合体报价但供应商组成的联合体不符合本章第3.2条规定的，其报价无效。</w:t>
      </w:r>
    </w:p>
    <w:p>
      <w:pPr>
        <w:pStyle w:val="17"/>
        <w:widowControl/>
        <w:spacing w:beforeAutospacing="0" w:afterAutospacing="0" w:line="435" w:lineRule="atLeast"/>
        <w:ind w:firstLine="480"/>
        <w:rPr>
          <w:rFonts w:ascii="仿宋" w:hAnsi="仿宋" w:eastAsia="仿宋" w:cs="仿宋"/>
          <w:color w:val="auto"/>
        </w:rPr>
      </w:pPr>
      <w:r>
        <w:rPr>
          <w:rFonts w:hint="eastAsia" w:ascii="仿宋" w:hAnsi="仿宋" w:eastAsia="仿宋" w:cs="仿宋"/>
          <w:color w:val="auto"/>
        </w:rPr>
        <w:t>3.2.3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17"/>
        <w:widowControl/>
        <w:spacing w:beforeAutospacing="0" w:afterAutospacing="0" w:line="435" w:lineRule="atLeast"/>
        <w:rPr>
          <w:rFonts w:ascii="仿宋" w:hAnsi="仿宋" w:eastAsia="仿宋" w:cs="仿宋"/>
          <w:color w:val="auto"/>
        </w:rPr>
      </w:pPr>
      <w:r>
        <w:rPr>
          <w:rStyle w:val="23"/>
          <w:rFonts w:hint="eastAsia" w:ascii="仿宋" w:hAnsi="仿宋" w:eastAsia="仿宋" w:cs="仿宋"/>
          <w:color w:val="auto"/>
        </w:rPr>
        <w:t>4.参与竞争性谈判费用：</w:t>
      </w:r>
    </w:p>
    <w:p>
      <w:pPr>
        <w:pStyle w:val="17"/>
        <w:widowControl/>
        <w:spacing w:beforeAutospacing="0" w:afterAutospacing="0" w:line="435" w:lineRule="atLeast"/>
        <w:ind w:firstLine="480"/>
        <w:rPr>
          <w:rFonts w:ascii="仿宋" w:hAnsi="仿宋" w:eastAsia="仿宋" w:cs="仿宋"/>
          <w:color w:val="auto"/>
        </w:rPr>
      </w:pPr>
      <w:r>
        <w:rPr>
          <w:rFonts w:hint="eastAsia" w:ascii="仿宋" w:hAnsi="仿宋" w:eastAsia="仿宋" w:cs="仿宋"/>
          <w:color w:val="auto"/>
        </w:rPr>
        <w:t>4.1除法律法规或采购文件另有规定之外，供应商应自行承担其准备与参加竞争性谈判所涉及的一切费用。</w:t>
      </w:r>
    </w:p>
    <w:p>
      <w:pPr>
        <w:pStyle w:val="17"/>
        <w:widowControl/>
        <w:spacing w:before="75" w:beforeAutospacing="0" w:after="75" w:afterAutospacing="0" w:line="435" w:lineRule="atLeast"/>
        <w:jc w:val="center"/>
        <w:rPr>
          <w:rFonts w:ascii="仿宋" w:hAnsi="仿宋" w:eastAsia="仿宋" w:cs="仿宋"/>
          <w:color w:val="auto"/>
        </w:rPr>
      </w:pPr>
      <w:r>
        <w:rPr>
          <w:rStyle w:val="23"/>
          <w:rFonts w:hint="eastAsia" w:ascii="仿宋" w:hAnsi="仿宋" w:eastAsia="仿宋" w:cs="仿宋"/>
          <w:color w:val="auto"/>
        </w:rPr>
        <w:t>二、竞争性谈判文件</w:t>
      </w:r>
    </w:p>
    <w:p>
      <w:pPr>
        <w:pStyle w:val="17"/>
        <w:widowControl/>
        <w:spacing w:beforeAutospacing="0" w:afterAutospacing="0" w:line="276" w:lineRule="auto"/>
        <w:rPr>
          <w:rFonts w:ascii="仿宋" w:hAnsi="仿宋" w:eastAsia="仿宋" w:cs="仿宋"/>
          <w:color w:val="auto"/>
        </w:rPr>
      </w:pPr>
      <w:r>
        <w:rPr>
          <w:rStyle w:val="23"/>
          <w:rFonts w:hint="eastAsia" w:ascii="仿宋" w:hAnsi="仿宋" w:eastAsia="仿宋" w:cs="仿宋"/>
          <w:color w:val="auto"/>
        </w:rPr>
        <w:t>5.竞争性谈判文件的组成：</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5.1竞争性谈判文件由下述部分组成：</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第一章 采购公告（或采购邀请书）</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第二章 竞争性谈判须知</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第三章 采购内容及要求</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第四章 合同主要条款及格式</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第五章 首次响应文件格式</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5.2除上述内容以外，采购人、采购代理机构或者谈判小组在采购过程期间对谈判文件所作的澄清、修改或补充，均构成谈判文件的组成部分，对采购人和供应商具有约束力。</w:t>
      </w:r>
    </w:p>
    <w:p>
      <w:pPr>
        <w:pStyle w:val="17"/>
        <w:widowControl/>
        <w:spacing w:beforeAutospacing="0" w:afterAutospacing="0" w:line="276" w:lineRule="auto"/>
        <w:rPr>
          <w:rFonts w:ascii="仿宋" w:hAnsi="仿宋" w:eastAsia="仿宋" w:cs="仿宋"/>
          <w:color w:val="auto"/>
        </w:rPr>
      </w:pPr>
      <w:r>
        <w:rPr>
          <w:rStyle w:val="23"/>
          <w:rFonts w:hint="eastAsia" w:ascii="仿宋" w:hAnsi="仿宋" w:eastAsia="仿宋" w:cs="仿宋"/>
          <w:color w:val="auto"/>
        </w:rPr>
        <w:t>6.竞争性谈判文件的澄清、补充或修改：</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6.1提交首次响应文件截止之日前，采购人、采购代理机构或者谈判小组可以对已发出的谈判文件进行必要的澄清、补充或者修改，澄清、补充或者修改的内容作为谈判文件的组成部分。澄清、补充或者修改的内容可能影响响应文件编制的，采购人、采购代理机构或者谈判小组将在提交首次响应文件截止时间3个工作日前，以书面形式通知所有获取谈判文件的潜在供应商，不足3个工作日的，采购人、采购代理机构或谈判小组将顺延提交首次响应文件的截止时间。</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6.2提交首次响应文件截止时间前，若采购人发布更正公告，则更正公告及其所发布的内容或信息（包括但不限于竞争性谈判文件的澄清、补充或修改等）作为谈判文件组成部分，对采购人和供应商具有约束力。更正公告作为采购人、采购代理机构或谈判小组通知所有潜在供应商的书面形式，潜在供应商务必随时关注谈判文件中载明的指定媒体，以免遗漏。</w:t>
      </w:r>
    </w:p>
    <w:p>
      <w:pPr>
        <w:pStyle w:val="17"/>
        <w:widowControl/>
        <w:spacing w:before="75" w:beforeAutospacing="0" w:after="75" w:afterAutospacing="0" w:line="435" w:lineRule="atLeast"/>
        <w:jc w:val="center"/>
        <w:rPr>
          <w:rFonts w:ascii="仿宋" w:hAnsi="仿宋" w:eastAsia="仿宋" w:cs="仿宋"/>
          <w:color w:val="auto"/>
        </w:rPr>
      </w:pPr>
      <w:r>
        <w:rPr>
          <w:rStyle w:val="23"/>
          <w:rFonts w:hint="eastAsia" w:ascii="仿宋" w:hAnsi="仿宋" w:eastAsia="仿宋" w:cs="仿宋"/>
          <w:color w:val="auto"/>
        </w:rPr>
        <w:t>三、响应文件编制</w:t>
      </w:r>
    </w:p>
    <w:p>
      <w:pPr>
        <w:pStyle w:val="17"/>
        <w:widowControl/>
        <w:spacing w:beforeAutospacing="0" w:afterAutospacing="0" w:line="276" w:lineRule="auto"/>
        <w:rPr>
          <w:rFonts w:ascii="仿宋" w:hAnsi="仿宋" w:eastAsia="仿宋" w:cs="仿宋"/>
          <w:color w:val="auto"/>
        </w:rPr>
      </w:pPr>
      <w:r>
        <w:rPr>
          <w:rStyle w:val="23"/>
          <w:rFonts w:hint="eastAsia" w:ascii="仿宋" w:hAnsi="仿宋" w:eastAsia="仿宋" w:cs="仿宋"/>
          <w:color w:val="auto"/>
        </w:rPr>
        <w:t>7.应标要求</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7.1供应商可按照合同包号，对竞争性谈判文件中载明的全部或部分合同包进行响应。对于能够详细列明采购标的技术、服务要求的采购项目，供应商响应时，对同一个合同包内所有的采购内容和要求必须进行完整响应，</w:t>
      </w:r>
      <w:r>
        <w:rPr>
          <w:rStyle w:val="23"/>
          <w:rFonts w:hint="eastAsia" w:ascii="仿宋" w:hAnsi="仿宋" w:eastAsia="仿宋" w:cs="仿宋"/>
          <w:color w:val="auto"/>
        </w:rPr>
        <w:t>否则其相应合同包的响应文件将被否决。</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7.2供应商代表在同一个合同项下只能接受一个供应商的委托参加响应谈判，</w:t>
      </w:r>
      <w:r>
        <w:rPr>
          <w:rStyle w:val="23"/>
          <w:rFonts w:hint="eastAsia" w:ascii="仿宋" w:hAnsi="仿宋" w:eastAsia="仿宋" w:cs="仿宋"/>
          <w:color w:val="auto"/>
        </w:rPr>
        <w:t>否则其响应文件将被否决。</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7.3供应商应仔细阅读谈判文件的所有内容和要求，按谈判文件的规定提供响应文件，并对其所提供的全部资料、承诺和声明的真实性、合法性和准确性负责。</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7.4除非竞争性谈判须知前附表另有规定外，供应商提供的响应文件应使用中文文本，若有不同文字文本，以中文文本为准。</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7.6除非竞争性谈判须知前附表另有规定外，供应商承诺的报价应以人民币进行报价，合同实施结算时亦以人民币支付；所有计量均采用中华人民共和国法定计量单位。</w:t>
      </w:r>
    </w:p>
    <w:p>
      <w:pPr>
        <w:pStyle w:val="17"/>
        <w:widowControl/>
        <w:spacing w:beforeAutospacing="0" w:afterAutospacing="0" w:line="276" w:lineRule="auto"/>
        <w:rPr>
          <w:rFonts w:ascii="仿宋" w:hAnsi="仿宋" w:eastAsia="仿宋" w:cs="仿宋"/>
          <w:color w:val="auto"/>
        </w:rPr>
      </w:pPr>
      <w:r>
        <w:rPr>
          <w:rStyle w:val="23"/>
          <w:rFonts w:hint="eastAsia" w:ascii="仿宋" w:hAnsi="仿宋" w:eastAsia="仿宋" w:cs="仿宋"/>
          <w:color w:val="auto"/>
        </w:rPr>
        <w:t>8.首次响应文件的组成：</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8.1首次响应文件包括但不限于下列部分：</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（1）谈判响应声明</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（2）报价一览表（含详细报价书）</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（3）资格证明文件</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（4）谈判保证金凭证</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（5）技术和商务偏离表</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（6）相关技术、商务、服务响应承诺及资料</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（7）供应商提交符合政府采购政策的证明材料</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（8）要求作为响应文件组成部分的其他内容（若有）</w:t>
      </w:r>
    </w:p>
    <w:p>
      <w:pPr>
        <w:pStyle w:val="17"/>
        <w:widowControl/>
        <w:spacing w:beforeAutospacing="0" w:afterAutospacing="0" w:line="276" w:lineRule="auto"/>
        <w:rPr>
          <w:rFonts w:ascii="仿宋" w:hAnsi="仿宋" w:eastAsia="仿宋" w:cs="仿宋"/>
          <w:color w:val="auto"/>
        </w:rPr>
      </w:pPr>
      <w:r>
        <w:rPr>
          <w:rStyle w:val="23"/>
          <w:rFonts w:hint="eastAsia" w:ascii="仿宋" w:hAnsi="仿宋" w:eastAsia="仿宋" w:cs="仿宋"/>
          <w:color w:val="auto"/>
        </w:rPr>
        <w:t>9.响应文件有效期：</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9.1响应文件有效期见竞争性谈判须知前附表第3项，响应文件承诺的有效期不得少于谈判文件载明的有效期，</w:t>
      </w:r>
      <w:r>
        <w:rPr>
          <w:rStyle w:val="23"/>
          <w:rFonts w:hint="eastAsia" w:ascii="仿宋" w:hAnsi="仿宋" w:eastAsia="仿宋" w:cs="仿宋"/>
          <w:color w:val="auto"/>
        </w:rPr>
        <w:t>否则其响应文件将被否决。</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9.2特殊情况下采购人可于响应文件有效期满之前要求供应商同意延长有效期，要求与答复均应为书面形式。供应商可以拒绝延长有效期，且其谈判保证金可以退还，但其供应商资格将被取消。同意延长有效期的供应商，不需要也不允许修改其响应文件及谈判承诺，但将要求其相应延长谈判保证金有效期，有关退还和不予退还谈判保证金的规定在有效期延长期内继续有效。</w:t>
      </w:r>
    </w:p>
    <w:p>
      <w:pPr>
        <w:pStyle w:val="17"/>
        <w:widowControl/>
        <w:spacing w:beforeAutospacing="0" w:afterAutospacing="0" w:line="276" w:lineRule="auto"/>
        <w:rPr>
          <w:rFonts w:ascii="仿宋" w:hAnsi="仿宋" w:eastAsia="仿宋" w:cs="仿宋"/>
          <w:color w:val="auto"/>
        </w:rPr>
      </w:pPr>
      <w:r>
        <w:rPr>
          <w:rStyle w:val="23"/>
          <w:rFonts w:hint="eastAsia" w:ascii="仿宋" w:hAnsi="仿宋" w:eastAsia="仿宋" w:cs="仿宋"/>
          <w:color w:val="auto"/>
        </w:rPr>
        <w:t>10.谈判保证金：</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10.1供应商应在参加竞争性谈判之前按竞争性谈判须知前附表第4项规定的金额、形式等要求提交谈判保证金。谈判文件若接受联合体形式且供应商为联合体的，则由联合体中的牵头方负责提交谈判保证金，其提交的谈判保证金对联合体各方均具有约束力。</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10.2谈判保证金为响应文件的重要组成部分之一。谈判保证金用于保护本次谈判活动免受供应商的违约或失信行为而引起的风险。未按规定提交谈判保证金的，</w:t>
      </w:r>
      <w:r>
        <w:rPr>
          <w:rStyle w:val="23"/>
          <w:rFonts w:hint="eastAsia" w:ascii="仿宋" w:hAnsi="仿宋" w:eastAsia="仿宋" w:cs="仿宋"/>
          <w:color w:val="auto"/>
        </w:rPr>
        <w:t>其响应文件将被否决。</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10.3谈判保证金退还：</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10.3.1采购人或者采购代理机构将在采购活动结束后及时退还供应商的保证金，但因供应商自身原因导致无法及时退还的除外（比如：采购人委托代理机构组织谈判采购，成交的供应商未向采购代理机构出具已签订合同证明材料，造成谈判保证金退还时间延误的结果，由成交的供应商自行承担和谅解等）。未成交供应商的保证金将在成交通知书发出后5个工作日内退还，成交供应商的保证金将在采购合同签订后5个工作日内退还。关于谈判保证金退还的其它要求见竞争性谈判须知前附表第5项。</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10.3.2质疑或投诉涉及的供应商，若其谈判保证金尚未退还，则待质疑或投诉处理完毕后，且没有发生法律法规或者谈判文件规定的不予退还谈判保证金情形，则由采购人或采购代理机构给予及时退还。</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10.4如果供应商发生以下任何一种情况时，其谈判保证金将被不予退还：</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(1)供应商在提交响应文件截止时间后撤回响应文件的；</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(2)供应商在响应文件中提供虚假材料的；</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(3)除因不可抗力或谈判文件认可的情形以外，成交供应商不与采购人签订合同的；</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(4)供应商与采购人、其他供应商或者采购代理机构恶意串通的；</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(5)供应商在提交最后报价后要求退出谈判的；</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(6)供应商假借以他人名义参加谈判或者以其他方式弄虚作假，骗取成交；</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(7)国家法律法规以及谈判文件中规定的其他谈判保证金不予退还的情形。</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上述不予退还谈判保证金的情况不能抵偿给采购人或采购代理机构造成损失的，供应商还要承担赔偿责任。</w:t>
      </w:r>
    </w:p>
    <w:p>
      <w:pPr>
        <w:pStyle w:val="17"/>
        <w:widowControl/>
        <w:spacing w:beforeAutospacing="0" w:afterAutospacing="0" w:line="276" w:lineRule="auto"/>
        <w:rPr>
          <w:rFonts w:ascii="仿宋" w:hAnsi="仿宋" w:eastAsia="仿宋" w:cs="仿宋"/>
          <w:color w:val="auto"/>
        </w:rPr>
      </w:pPr>
      <w:r>
        <w:rPr>
          <w:rStyle w:val="23"/>
          <w:rFonts w:hint="eastAsia" w:ascii="仿宋" w:hAnsi="仿宋" w:eastAsia="仿宋" w:cs="仿宋"/>
          <w:color w:val="auto"/>
        </w:rPr>
        <w:t>11.纸质响应文件基本编制要求：</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11.1供应商须编制由本须知规定组成的响应文件正副本份数详见竞争性谈判须知前附表第6项。响应文件正本和全部副本均应使用不能擦去的墨料或墨水打印、书写或复印，副本可以用正本的完整复印件。响应文件封面上应标明“正本”、“副本”字样。正本与副本内容如有不一致，则以正本为准。</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11.2响应文件应由供应商代表签字并加盖公章。供应商代表如果不是竞争性谈判须知中定义的“单位负责人”，则其响应文件中还必须提供“单位负责人授权书”。</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11.3响应文件应尽量避免涂改、行间插字或删除。如果出现上述情况，改动之处应加盖供应商单位公章或由供应商代表签字确认。</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11.4供应商应提交证明其拟提供货物、服务或工程符合谈判文件要求的技术和商务响应文件，该文件可以是文字资料、图纸和数据，并对拟提供的货物、服务或工程的主要内容进行详细描述。</w:t>
      </w:r>
    </w:p>
    <w:p>
      <w:pPr>
        <w:pStyle w:val="17"/>
        <w:widowControl/>
        <w:numPr>
          <w:ilvl w:val="0"/>
          <w:numId w:val="5"/>
        </w:numPr>
        <w:spacing w:beforeAutospacing="0" w:afterAutospacing="0" w:line="276" w:lineRule="auto"/>
        <w:rPr>
          <w:rStyle w:val="23"/>
          <w:rFonts w:ascii="仿宋" w:hAnsi="仿宋" w:eastAsia="仿宋" w:cs="仿宋"/>
          <w:color w:val="auto"/>
        </w:rPr>
      </w:pPr>
      <w:r>
        <w:rPr>
          <w:rStyle w:val="23"/>
          <w:rFonts w:hint="eastAsia" w:ascii="仿宋" w:hAnsi="仿宋" w:eastAsia="仿宋" w:cs="仿宋"/>
          <w:color w:val="auto"/>
        </w:rPr>
        <w:t>纸质响应文件的密封、标识、签署和提交</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12.1供应商应当将响应文件密封包装提交，并在外封套上标识项目名称、项目编号、供应商单位名称以及“于         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12.2供应商应当在谈判文件规定的提交响应文件截止时间前，将首次响应文件密封送达谈判文件规定的指定地点。在截止时间后送达的首次响应文件为无效文件，采购人、采购代理机构或者谈判小组将不予接收。</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12.3供应商在首次响应文件递交截止时间前，可以对其所提交的响应文件进行补充、修改或者撤回，并书面通知采购人、采购代理机构或谈判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谈判须知中定义的“单位负责人”，则还必须提供“单位负责人授权书”），或者加盖供应商单位公章方可生效，否则采购人、采购代理机构或谈判小组将视为无效补充、修改或者撤回。采购人、采购代理机构或谈判小组不接受供应商口头、电话、传真或电子邮件形式提交的补充、修改或者撤回。</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12.4供应商在谈判过程中根据谈判小组要求，提交的有关澄清、说明、补充、更正响应文件以及最后报价响应文件等资料，均应由供应商代表签署（供应商代表如果不是竞争性谈判须知中定义的“单位负责人”，则还必须提供“单位负责人授权书”），或者加盖供应商单位公章。</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12.5除《政府采购非招标采购方式管理办法》等相关法律法规及财政部门颁布的规范性文件允许的两家供应商进行竞争性谈判采购情形外，首次响应文件递交截止时间后，提交响应文件的供应商不足三家的，本次竞争性谈判活动终止，除采购任务取消情形外，采购人将依法重新组织采购或者采取其他方式采购。</w:t>
      </w:r>
    </w:p>
    <w:p>
      <w:pPr>
        <w:pStyle w:val="17"/>
        <w:widowControl/>
        <w:spacing w:beforeAutospacing="0" w:afterAutospacing="0" w:line="276" w:lineRule="auto"/>
        <w:rPr>
          <w:rFonts w:ascii="仿宋" w:hAnsi="仿宋" w:eastAsia="仿宋" w:cs="仿宋"/>
          <w:color w:val="auto"/>
        </w:rPr>
      </w:pPr>
    </w:p>
    <w:p>
      <w:pPr>
        <w:pStyle w:val="17"/>
        <w:widowControl/>
        <w:spacing w:beforeAutospacing="0" w:afterAutospacing="0" w:line="276" w:lineRule="auto"/>
        <w:jc w:val="center"/>
        <w:rPr>
          <w:rFonts w:ascii="仿宋" w:hAnsi="仿宋" w:eastAsia="仿宋" w:cs="仿宋"/>
          <w:color w:val="auto"/>
        </w:rPr>
      </w:pPr>
      <w:r>
        <w:rPr>
          <w:rStyle w:val="23"/>
          <w:rFonts w:hint="eastAsia" w:ascii="仿宋" w:hAnsi="仿宋" w:eastAsia="仿宋" w:cs="仿宋"/>
          <w:color w:val="auto"/>
        </w:rPr>
        <w:t>四、竞争性谈判</w:t>
      </w:r>
    </w:p>
    <w:p>
      <w:pPr>
        <w:pStyle w:val="17"/>
        <w:widowControl/>
        <w:spacing w:beforeAutospacing="0" w:afterAutospacing="0" w:line="276" w:lineRule="auto"/>
        <w:rPr>
          <w:rFonts w:ascii="仿宋" w:hAnsi="仿宋" w:eastAsia="仿宋" w:cs="仿宋"/>
          <w:color w:val="auto"/>
        </w:rPr>
      </w:pPr>
      <w:r>
        <w:rPr>
          <w:rStyle w:val="23"/>
          <w:rFonts w:hint="eastAsia" w:ascii="仿宋" w:hAnsi="仿宋" w:eastAsia="仿宋" w:cs="仿宋"/>
          <w:color w:val="auto"/>
        </w:rPr>
        <w:t>13.评审和谈判基本准则</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13.1对所有供应商的评审和谈判，都采用相同的程序和标准。</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13.2谈判及评审过程将严格按照谈判文件的要求和条件进行，谈判小组将根据供应商的响应文件，按谈判文件规定的谈判程序和评定成交标准进行评审和谈判，并推荐成交候选人。</w:t>
      </w:r>
    </w:p>
    <w:p>
      <w:pPr>
        <w:pStyle w:val="17"/>
        <w:widowControl/>
        <w:spacing w:beforeAutospacing="0" w:afterAutospacing="0" w:line="276" w:lineRule="auto"/>
        <w:rPr>
          <w:rFonts w:ascii="仿宋" w:hAnsi="仿宋" w:eastAsia="仿宋" w:cs="仿宋"/>
          <w:color w:val="auto"/>
        </w:rPr>
      </w:pPr>
      <w:r>
        <w:rPr>
          <w:rStyle w:val="23"/>
          <w:rFonts w:hint="eastAsia" w:ascii="仿宋" w:hAnsi="仿宋" w:eastAsia="仿宋" w:cs="仿宋"/>
          <w:color w:val="auto"/>
        </w:rPr>
        <w:t>14.谈判程序以及评定成交标准</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14.1采购人将根据项目的特点依法组建谈判小组。谈判小组将根据谈判文件规定的程序、评定成交标准等内容对供应商进行评审、谈判。</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14.2 在进入谈判阶段之前，谈判小组将对供应商提交的首次响应文件中资格证明文件以及其他响应文件是否对谈判文件的要求作出实质性响应进行审查。如果供应商资格审查和实质性响应审查不合格，则其响应文件将被谈判小组否决，按无效处理，不进入谈判阶段，谈判小组将告知有关供应商。</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14.2.1供应商有下列情况之一者，其提交的响应文件将被视为未实质性响应谈判文件要求，谈判小组将否决其响应文件，按无效处理：</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(1)响应文件中提供的资格证明文件不全的；</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(2)响应文件未按谈判文件规定由供应商代表签字，或未按谈判文件规定加盖供应商单位公章的；或供应商代表未获得有效授权的；</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(3)供应商未按谈判文件规定提交谈判保证金的；</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(4)响应文件有效期不满足谈判文件要求的；</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(5)响应内容与谈判采购内容及要求有重大偏离或保留的，限制了采购人的权利或者减少成交供应商合同项下的义务；（由于谈判项目本身特点，不能详细列明采购标的的技术、服务要求的除外）；</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(6)响应文件中附有采购人无法接受的条件的；</w:t>
      </w:r>
    </w:p>
    <w:p>
      <w:pPr>
        <w:pStyle w:val="17"/>
        <w:widowControl/>
        <w:spacing w:beforeAutospacing="0" w:afterAutospacing="0" w:line="276" w:lineRule="auto"/>
        <w:ind w:firstLine="480"/>
        <w:rPr>
          <w:rFonts w:hint="eastAsia" w:ascii="仿宋" w:hAnsi="仿宋" w:eastAsia="仿宋" w:cs="仿宋"/>
          <w:color w:val="auto"/>
          <w:lang w:eastAsia="zh-CN"/>
        </w:rPr>
      </w:pPr>
      <w:r>
        <w:rPr>
          <w:rFonts w:hint="eastAsia" w:ascii="仿宋" w:hAnsi="仿宋" w:eastAsia="仿宋" w:cs="仿宋"/>
          <w:color w:val="auto"/>
        </w:rPr>
        <w:t>(7)不符合谈判文件中规定的其它实质性条款（比如：报价超过了谈判文件规定的最高限价）。</w:t>
      </w:r>
    </w:p>
    <w:p>
      <w:pPr>
        <w:pStyle w:val="17"/>
        <w:widowControl/>
        <w:spacing w:beforeAutospacing="0" w:afterAutospacing="0" w:line="276" w:lineRule="auto"/>
        <w:ind w:firstLine="480"/>
        <w:rPr>
          <w:rFonts w:hint="eastAsia" w:ascii="仿宋" w:hAnsi="仿宋" w:eastAsia="仿宋" w:cs="仿宋"/>
          <w:color w:val="auto"/>
          <w:lang w:eastAsia="zh-CN"/>
        </w:rPr>
      </w:pPr>
      <w:r>
        <w:rPr>
          <w:rFonts w:hint="eastAsia" w:ascii="仿宋" w:hAnsi="仿宋" w:eastAsia="仿宋" w:cs="仿宋"/>
          <w:color w:val="auto"/>
        </w:rPr>
        <w:t>  14.2.2其他情形</w:t>
      </w:r>
    </w:p>
    <w:p>
      <w:pPr>
        <w:pStyle w:val="17"/>
        <w:widowControl/>
        <w:spacing w:beforeAutospacing="0" w:afterAutospacing="0" w:line="276" w:lineRule="auto"/>
        <w:ind w:firstLine="480"/>
        <w:rPr>
          <w:rFonts w:ascii="仿宋" w:hAnsi="仿宋" w:eastAsia="仿宋" w:cs="仿宋"/>
          <w:b/>
          <w:bCs/>
          <w:color w:val="auto"/>
        </w:rPr>
      </w:pPr>
      <w:r>
        <w:rPr>
          <w:rFonts w:hint="eastAsia" w:ascii="仿宋" w:hAnsi="仿宋" w:eastAsia="仿宋" w:cs="仿宋"/>
          <w:b/>
          <w:bCs/>
          <w:color w:val="auto"/>
        </w:rPr>
        <w:t>  包1</w:t>
      </w:r>
    </w:p>
    <w:p>
      <w:pPr>
        <w:pStyle w:val="17"/>
        <w:widowControl/>
        <w:spacing w:beforeAutospacing="0" w:afterAutospacing="0" w:line="276" w:lineRule="auto"/>
        <w:ind w:firstLine="480"/>
        <w:rPr>
          <w:rFonts w:hint="eastAsia" w:ascii="仿宋" w:hAnsi="仿宋" w:eastAsia="仿宋" w:cs="仿宋"/>
          <w:color w:val="auto"/>
          <w:lang w:eastAsia="zh-CN"/>
        </w:rPr>
      </w:pPr>
      <w:r>
        <w:rPr>
          <w:rFonts w:hint="eastAsia" w:ascii="仿宋" w:hAnsi="仿宋" w:eastAsia="仿宋" w:cs="仿宋"/>
          <w:color w:val="auto"/>
        </w:rPr>
        <w:t xml:space="preserve">一般情形 </w:t>
      </w:r>
    </w:p>
    <w:p>
      <w:pPr>
        <w:pStyle w:val="17"/>
        <w:widowControl/>
        <w:spacing w:beforeAutospacing="0" w:afterAutospacing="0" w:line="276" w:lineRule="auto"/>
        <w:ind w:firstLine="480"/>
        <w:rPr>
          <w:rStyle w:val="23"/>
          <w:rFonts w:hint="eastAsia" w:ascii="仿宋" w:hAnsi="仿宋" w:eastAsia="仿宋" w:cs="仿宋"/>
          <w:color w:val="auto"/>
          <w:lang w:eastAsia="zh-CN"/>
        </w:rPr>
      </w:pPr>
      <w:r>
        <w:rPr>
          <w:rStyle w:val="23"/>
          <w:rFonts w:hint="eastAsia" w:ascii="宋体" w:hAnsi="宋体" w:eastAsia="仿宋" w:cs="宋体"/>
          <w:color w:val="auto"/>
        </w:rPr>
        <w:t>         </w:t>
      </w:r>
      <w:r>
        <w:rPr>
          <w:rStyle w:val="23"/>
          <w:rFonts w:hint="eastAsia" w:ascii="仿宋" w:hAnsi="仿宋" w:eastAsia="仿宋" w:cs="仿宋"/>
          <w:color w:val="auto"/>
        </w:rPr>
        <w:t>无</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b/>
          <w:bCs/>
          <w:color w:val="auto"/>
        </w:rPr>
        <w:t>技术符合性</w:t>
      </w:r>
    </w:p>
    <w:tbl>
      <w:tblPr>
        <w:tblStyle w:val="20"/>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5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76" w:lineRule="auto"/>
              <w:jc w:val="center"/>
              <w:rPr>
                <w:rFonts w:ascii="仿宋" w:hAnsi="仿宋" w:eastAsia="仿宋" w:cs="仿宋"/>
                <w:b/>
                <w:color w:val="auto"/>
                <w:sz w:val="24"/>
              </w:rPr>
            </w:pPr>
            <w:r>
              <w:rPr>
                <w:rFonts w:hint="eastAsia" w:ascii="仿宋" w:hAnsi="仿宋" w:eastAsia="仿宋" w:cs="仿宋"/>
                <w:b/>
                <w:color w:val="auto"/>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numPr>
                <w:ilvl w:val="0"/>
                <w:numId w:val="6"/>
              </w:numPr>
              <w:spacing w:line="276" w:lineRule="auto"/>
              <w:jc w:val="left"/>
              <w:rPr>
                <w:rFonts w:hint="eastAsia" w:ascii="仿宋" w:hAnsi="仿宋" w:eastAsia="仿宋" w:cs="仿宋"/>
                <w:b w:val="0"/>
                <w:bCs/>
                <w:color w:val="auto"/>
                <w:kern w:val="0"/>
                <w:sz w:val="24"/>
              </w:rPr>
            </w:pPr>
            <w:r>
              <w:rPr>
                <w:rFonts w:hint="eastAsia" w:ascii="仿宋" w:hAnsi="仿宋" w:eastAsia="仿宋" w:cs="仿宋"/>
                <w:b w:val="0"/>
                <w:bCs/>
                <w:color w:val="auto"/>
                <w:kern w:val="0"/>
                <w:sz w:val="24"/>
              </w:rPr>
              <w:t>谈判文件第三章采购内容及要求“二、技术和服务要求”出现负偏离，按无效响应处理；</w:t>
            </w:r>
          </w:p>
          <w:p>
            <w:pPr>
              <w:widowControl/>
              <w:numPr>
                <w:ilvl w:val="0"/>
                <w:numId w:val="6"/>
              </w:numPr>
              <w:spacing w:line="276" w:lineRule="auto"/>
              <w:jc w:val="left"/>
              <w:rPr>
                <w:rFonts w:ascii="仿宋" w:hAnsi="仿宋" w:eastAsia="仿宋" w:cs="仿宋"/>
                <w:color w:val="auto"/>
                <w:sz w:val="24"/>
              </w:rPr>
            </w:pPr>
            <w:r>
              <w:rPr>
                <w:rFonts w:hint="eastAsia" w:ascii="仿宋" w:hAnsi="仿宋" w:eastAsia="仿宋" w:cs="仿宋"/>
                <w:b w:val="0"/>
                <w:bCs/>
                <w:color w:val="auto"/>
                <w:kern w:val="0"/>
                <w:sz w:val="24"/>
              </w:rPr>
              <w:t>属于谈判文件中规定的无效响应条款的情形；</w:t>
            </w:r>
          </w:p>
          <w:p>
            <w:pPr>
              <w:widowControl/>
              <w:numPr>
                <w:ilvl w:val="0"/>
                <w:numId w:val="6"/>
              </w:numPr>
              <w:spacing w:line="276" w:lineRule="auto"/>
              <w:jc w:val="left"/>
              <w:rPr>
                <w:rFonts w:ascii="仿宋" w:hAnsi="仿宋" w:eastAsia="仿宋" w:cs="仿宋"/>
                <w:color w:val="auto"/>
                <w:sz w:val="24"/>
              </w:rPr>
            </w:pPr>
            <w:r>
              <w:rPr>
                <w:rFonts w:hint="eastAsia" w:ascii="仿宋" w:hAnsi="仿宋" w:eastAsia="仿宋" w:cs="仿宋"/>
                <w:b w:val="0"/>
                <w:bCs/>
                <w:color w:val="auto"/>
                <w:kern w:val="0"/>
                <w:sz w:val="24"/>
              </w:rPr>
              <w:t>属于谈判文件规定谈判小组应否决其投标的情形。</w:t>
            </w:r>
          </w:p>
        </w:tc>
      </w:tr>
    </w:tbl>
    <w:p>
      <w:pPr>
        <w:widowControl/>
        <w:spacing w:line="276" w:lineRule="auto"/>
        <w:jc w:val="left"/>
        <w:rPr>
          <w:rFonts w:ascii="仿宋" w:hAnsi="仿宋" w:eastAsia="仿宋" w:cs="仿宋"/>
          <w:color w:val="auto"/>
          <w:kern w:val="0"/>
          <w:sz w:val="24"/>
        </w:rPr>
      </w:pPr>
    </w:p>
    <w:p>
      <w:pPr>
        <w:widowControl/>
        <w:spacing w:line="276" w:lineRule="auto"/>
        <w:jc w:val="left"/>
        <w:rPr>
          <w:rFonts w:ascii="仿宋" w:hAnsi="仿宋" w:eastAsia="仿宋" w:cs="仿宋"/>
          <w:color w:val="auto"/>
          <w:sz w:val="24"/>
        </w:rPr>
      </w:pPr>
      <w:r>
        <w:rPr>
          <w:rFonts w:hint="eastAsia" w:ascii="仿宋" w:hAnsi="仿宋" w:eastAsia="仿宋" w:cs="仿宋"/>
          <w:b/>
          <w:bCs/>
          <w:color w:val="auto"/>
          <w:kern w:val="0"/>
          <w:sz w:val="24"/>
        </w:rPr>
        <w:t>商务符合性</w:t>
      </w:r>
    </w:p>
    <w:tbl>
      <w:tblPr>
        <w:tblStyle w:val="20"/>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85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276" w:lineRule="auto"/>
              <w:jc w:val="center"/>
              <w:rPr>
                <w:rFonts w:ascii="仿宋" w:hAnsi="仿宋" w:eastAsia="仿宋" w:cs="仿宋"/>
                <w:b/>
                <w:color w:val="auto"/>
                <w:sz w:val="24"/>
              </w:rPr>
            </w:pPr>
            <w:r>
              <w:rPr>
                <w:rFonts w:hint="eastAsia" w:ascii="仿宋" w:hAnsi="仿宋" w:eastAsia="仿宋" w:cs="仿宋"/>
                <w:b/>
                <w:color w:val="auto"/>
                <w:kern w:val="0"/>
                <w:sz w:val="24"/>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widowControl/>
              <w:numPr>
                <w:ilvl w:val="0"/>
                <w:numId w:val="7"/>
              </w:numPr>
              <w:spacing w:line="276" w:lineRule="auto"/>
              <w:jc w:val="left"/>
              <w:rPr>
                <w:rFonts w:hint="eastAsia" w:ascii="仿宋" w:hAnsi="仿宋" w:eastAsia="仿宋" w:cs="仿宋"/>
                <w:b w:val="0"/>
                <w:bCs/>
                <w:color w:val="auto"/>
                <w:kern w:val="0"/>
                <w:sz w:val="24"/>
              </w:rPr>
            </w:pPr>
            <w:r>
              <w:rPr>
                <w:rFonts w:hint="eastAsia" w:ascii="仿宋" w:hAnsi="仿宋" w:eastAsia="仿宋" w:cs="仿宋"/>
                <w:b w:val="0"/>
                <w:bCs/>
                <w:color w:val="auto"/>
                <w:kern w:val="0"/>
                <w:sz w:val="24"/>
              </w:rPr>
              <w:t>谈判文件第三章采购内容及要求“三、商务条件”出现负偏离，按无效响应处理；</w:t>
            </w:r>
          </w:p>
          <w:p>
            <w:pPr>
              <w:widowControl/>
              <w:numPr>
                <w:ilvl w:val="0"/>
                <w:numId w:val="7"/>
              </w:numPr>
              <w:spacing w:line="276" w:lineRule="auto"/>
              <w:jc w:val="left"/>
              <w:rPr>
                <w:rFonts w:ascii="仿宋" w:hAnsi="仿宋" w:eastAsia="仿宋" w:cs="仿宋"/>
                <w:color w:val="auto"/>
                <w:sz w:val="24"/>
              </w:rPr>
            </w:pPr>
            <w:r>
              <w:rPr>
                <w:rFonts w:hint="eastAsia" w:ascii="仿宋" w:hAnsi="仿宋" w:eastAsia="仿宋" w:cs="仿宋"/>
                <w:b w:val="0"/>
                <w:bCs/>
                <w:color w:val="auto"/>
                <w:kern w:val="0"/>
                <w:sz w:val="24"/>
              </w:rPr>
              <w:t>属于谈判文件中规定的无效响应条款的；</w:t>
            </w:r>
          </w:p>
          <w:p>
            <w:pPr>
              <w:widowControl/>
              <w:numPr>
                <w:ilvl w:val="0"/>
                <w:numId w:val="7"/>
              </w:numPr>
              <w:spacing w:line="276" w:lineRule="auto"/>
              <w:jc w:val="left"/>
              <w:rPr>
                <w:rFonts w:ascii="仿宋" w:hAnsi="仿宋" w:eastAsia="仿宋" w:cs="仿宋"/>
                <w:color w:val="auto"/>
                <w:sz w:val="24"/>
              </w:rPr>
            </w:pPr>
            <w:r>
              <w:rPr>
                <w:rFonts w:hint="eastAsia" w:ascii="仿宋" w:hAnsi="仿宋" w:eastAsia="仿宋" w:cs="仿宋"/>
                <w:b w:val="0"/>
                <w:bCs/>
                <w:color w:val="auto"/>
                <w:kern w:val="0"/>
                <w:sz w:val="24"/>
              </w:rPr>
              <w:t>属于谈判文件规定谈判小组应否决其投标的情形。</w:t>
            </w:r>
          </w:p>
        </w:tc>
      </w:tr>
    </w:tbl>
    <w:p>
      <w:pPr>
        <w:widowControl/>
        <w:spacing w:line="276" w:lineRule="auto"/>
        <w:jc w:val="left"/>
        <w:rPr>
          <w:rFonts w:hint="eastAsia" w:ascii="仿宋" w:hAnsi="仿宋" w:eastAsia="仿宋" w:cs="仿宋"/>
          <w:color w:val="auto"/>
          <w:kern w:val="0"/>
          <w:sz w:val="24"/>
          <w:lang w:eastAsia="zh-CN"/>
        </w:rPr>
      </w:pPr>
      <w:r>
        <w:rPr>
          <w:rFonts w:hint="eastAsia" w:ascii="仿宋" w:hAnsi="仿宋" w:eastAsia="仿宋" w:cs="仿宋"/>
          <w:color w:val="auto"/>
          <w:kern w:val="0"/>
          <w:sz w:val="24"/>
        </w:rPr>
        <w:t>附加符合性</w:t>
      </w:r>
    </w:p>
    <w:p>
      <w:pPr>
        <w:widowControl/>
        <w:spacing w:line="276" w:lineRule="auto"/>
        <w:jc w:val="left"/>
        <w:rPr>
          <w:rStyle w:val="23"/>
          <w:rFonts w:hint="eastAsia" w:ascii="仿宋" w:hAnsi="仿宋" w:eastAsia="仿宋" w:cs="仿宋"/>
          <w:color w:val="auto"/>
          <w:kern w:val="0"/>
          <w:sz w:val="24"/>
          <w:lang w:eastAsia="zh-CN"/>
        </w:rPr>
      </w:pPr>
      <w:r>
        <w:rPr>
          <w:rStyle w:val="23"/>
          <w:rFonts w:hint="eastAsia" w:ascii="仿宋" w:hAnsi="仿宋" w:eastAsia="仿宋" w:cs="仿宋"/>
          <w:color w:val="auto"/>
          <w:kern w:val="0"/>
          <w:sz w:val="24"/>
        </w:rPr>
        <w:t>         无</w:t>
      </w:r>
    </w:p>
    <w:p>
      <w:pPr>
        <w:widowControl/>
        <w:spacing w:line="276" w:lineRule="auto"/>
        <w:jc w:val="left"/>
        <w:rPr>
          <w:rFonts w:ascii="仿宋" w:hAnsi="仿宋" w:eastAsia="仿宋" w:cs="仿宋"/>
          <w:color w:val="auto"/>
          <w:sz w:val="24"/>
        </w:rPr>
      </w:pPr>
      <w:r>
        <w:rPr>
          <w:rFonts w:hint="eastAsia" w:ascii="仿宋" w:hAnsi="仿宋" w:eastAsia="仿宋" w:cs="仿宋"/>
          <w:color w:val="auto"/>
          <w:kern w:val="0"/>
          <w:sz w:val="24"/>
        </w:rPr>
        <w:t xml:space="preserve">价格符合性 </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谈判小组决定供应商的响应性只根据响应文件本身的内容，而不寻求其他的外部证据。</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w:t>
      </w:r>
      <w:r>
        <w:rPr>
          <w:rFonts w:hint="eastAsia" w:ascii="仿宋" w:hAnsi="仿宋" w:eastAsia="仿宋" w:cs="仿宋"/>
          <w:color w:val="auto"/>
          <w:lang w:val="en-US" w:eastAsia="zh-CN"/>
        </w:rPr>
        <w:t xml:space="preserve">  </w:t>
      </w:r>
      <w:r>
        <w:rPr>
          <w:rFonts w:hint="eastAsia" w:ascii="仿宋" w:hAnsi="仿宋" w:eastAsia="仿宋" w:cs="仿宋"/>
          <w:color w:val="auto"/>
        </w:rPr>
        <w:t>14.3谈判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w:t>
      </w:r>
      <w:r>
        <w:rPr>
          <w:rFonts w:hint="eastAsia" w:ascii="仿宋" w:hAnsi="仿宋" w:eastAsia="仿宋" w:cs="仿宋"/>
          <w:color w:val="auto"/>
          <w:lang w:val="en-US" w:eastAsia="zh-CN"/>
        </w:rPr>
        <w:t xml:space="preserve">  </w:t>
      </w:r>
      <w:r>
        <w:rPr>
          <w:rFonts w:hint="eastAsia" w:ascii="仿宋" w:hAnsi="仿宋" w:eastAsia="仿宋" w:cs="仿宋"/>
          <w:color w:val="auto"/>
        </w:rPr>
        <w:t> 14.4只有资格审查和实质性响应审查合格的供应商才能进入谈判阶段。谈判小组所有成员将集中与单一供应商分别进行谈判，并给予所有参加谈判的合格供应商平等的谈判机会。谈判过程中，谈判小组可以根据谈判文件和谈判情况实质性变动采购需求中的技术、服务要求以及合同草案条款，但不得变动竞争性谈判文件中的其他内容。实质性变动的内容，须经采购人代表确认。谈判过程中对谈判文件作出的实质性变动是谈判文件的有效组成部分，谈判小组将及时以书面形式同时通知所有参加谈判的供应商。根据采购项目的特点和需要，在谈判过程中可能发生实质性变动的内容详见竞争性谈判须知前附表第</w:t>
      </w:r>
      <w:r>
        <w:rPr>
          <w:rFonts w:hint="eastAsia" w:ascii="仿宋" w:hAnsi="仿宋" w:eastAsia="仿宋" w:cs="仿宋"/>
          <w:color w:val="auto"/>
          <w:lang w:val="en-US" w:eastAsia="zh-CN"/>
        </w:rPr>
        <w:t>9</w:t>
      </w:r>
      <w:r>
        <w:rPr>
          <w:rFonts w:hint="eastAsia" w:ascii="仿宋" w:hAnsi="仿宋" w:eastAsia="仿宋" w:cs="仿宋"/>
          <w:color w:val="auto"/>
        </w:rPr>
        <w:t>项。</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w:t>
      </w:r>
      <w:r>
        <w:rPr>
          <w:rFonts w:hint="eastAsia" w:ascii="仿宋" w:hAnsi="仿宋" w:eastAsia="仿宋" w:cs="仿宋"/>
          <w:color w:val="auto"/>
          <w:lang w:val="en-US" w:eastAsia="zh-CN"/>
        </w:rPr>
        <w:t xml:space="preserve">  </w:t>
      </w:r>
      <w:r>
        <w:rPr>
          <w:rFonts w:hint="eastAsia" w:ascii="仿宋" w:hAnsi="仿宋" w:eastAsia="仿宋" w:cs="仿宋"/>
          <w:color w:val="auto"/>
        </w:rPr>
        <w:t>14.5合格供应商应当按照谈判文件的变动情况和谈判小组的要求提交补充响应文件（首次响应文件中已经提交过的如资格证明文件等资料，不用重新提供），并由供应商代表签字或加盖供应商单位公章。供应商代表如果不是竞争性谈判须知中定义的“单位负责人”，则还必须提供“单位负责人授权书”。供应商为自然人的，应当由本人签字并附身份证明。</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w:t>
      </w:r>
      <w:r>
        <w:rPr>
          <w:rFonts w:hint="eastAsia" w:ascii="仿宋" w:hAnsi="仿宋" w:eastAsia="仿宋" w:cs="仿宋"/>
          <w:color w:val="auto"/>
          <w:lang w:val="en-US" w:eastAsia="zh-CN"/>
        </w:rPr>
        <w:t xml:space="preserve">  </w:t>
      </w:r>
      <w:r>
        <w:rPr>
          <w:rFonts w:hint="eastAsia" w:ascii="仿宋" w:hAnsi="仿宋" w:eastAsia="仿宋" w:cs="仿宋"/>
          <w:color w:val="auto"/>
        </w:rPr>
        <w:t>14.6谈判文件能够详细列明采购标的的技术、服务要求的，谈判结束后，谈判小组应当要求所有继续参加谈判的供应商在规定时间内提交最后报价。属于《政府采购非招标采购方式管理办法》等相关法律法规及财政部门颁布的规范性文件允许的两家供应商进行竞争性谈判采购情形，则提交最后报价的供应商可以为2家。</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w:t>
      </w:r>
      <w:r>
        <w:rPr>
          <w:rFonts w:hint="eastAsia" w:ascii="仿宋" w:hAnsi="仿宋" w:eastAsia="仿宋" w:cs="仿宋"/>
          <w:color w:val="auto"/>
          <w:lang w:val="en-US" w:eastAsia="zh-CN"/>
        </w:rPr>
        <w:t xml:space="preserve">  </w:t>
      </w:r>
      <w:r>
        <w:rPr>
          <w:rFonts w:hint="eastAsia" w:ascii="仿宋" w:hAnsi="仿宋" w:eastAsia="仿宋" w:cs="仿宋"/>
          <w:color w:val="auto"/>
        </w:rPr>
        <w:t>14.7谈判文件不能详细列明采购标的的技术、服务要求，需经谈判由供应商提供最终设计方案或解决方案的，谈判结束后，谈判小组应当按照少数服从多数的原则投票推荐3家以上供应商的设计方案或者解决方案，具体推荐数量和投票细则等内容按照“竞争性谈判须知前附表”中专项附件：“评定成交的标准和方法”的相关条款规定执行，并要求其在规定时间内提交最后报价。属于《政府采购非招标采购方式管理办法》等相关法律法规及财政部门颁布的规范性文件允许的两家供应商进行竞争性谈判采购情形，则提交最后报价的供应商可以为2家。</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14.8最后报价是供应商响应文件的有效组成部分。如果供应商的最后报价明显低于其他最后报价，使得其最后报价有可能影响商品或服务质量或者不能诚信履约的，供应商应当按照谈判小组要求，在规定时间内作出书面说明，必要时提交相关证明材料；供应商不能合理说明其报价合理性的，谈判小组可以做无效响应文件和无效报价处理。</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14.9谈判小组将从质量和服务均能满足采购文件实质性响应要求的供应商中，按照评审价由低到高的顺序提出3名以上成交候选人，并编写评审报告。属于《政府采购非招标采购方式管理办法》等相关法律法规及财政部门颁布的规范性文件允许的两家供应商进行竞争性谈判采购情形，则可以按照最后报价由低到高的顺序提出2名成交候选人。如果成交候选人出现并列相同的最低评审价，则相应处理方式按照“竞争性谈判须知前附表”中专项附件：“评定成交的标准和方法”的相关条款规定执行。</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14.10供应商提交的响应文件和资料将给予保密，但不退回（有关证件或证照的原件除外）。</w:t>
      </w:r>
    </w:p>
    <w:p>
      <w:pPr>
        <w:pStyle w:val="17"/>
        <w:widowControl/>
        <w:spacing w:beforeAutospacing="0" w:afterAutospacing="0" w:line="276" w:lineRule="auto"/>
        <w:ind w:firstLine="480"/>
        <w:rPr>
          <w:rFonts w:ascii="仿宋" w:hAnsi="仿宋" w:eastAsia="仿宋" w:cs="仿宋"/>
          <w:color w:val="auto"/>
        </w:rPr>
      </w:pPr>
    </w:p>
    <w:p>
      <w:pPr>
        <w:pStyle w:val="17"/>
        <w:widowControl/>
        <w:spacing w:beforeAutospacing="0" w:afterAutospacing="0" w:line="276" w:lineRule="auto"/>
        <w:jc w:val="center"/>
        <w:rPr>
          <w:rFonts w:ascii="仿宋" w:hAnsi="仿宋" w:eastAsia="仿宋" w:cs="仿宋"/>
          <w:color w:val="auto"/>
        </w:rPr>
      </w:pPr>
      <w:r>
        <w:rPr>
          <w:rStyle w:val="23"/>
          <w:rFonts w:hint="eastAsia" w:ascii="仿宋" w:hAnsi="仿宋" w:eastAsia="仿宋" w:cs="仿宋"/>
          <w:color w:val="auto"/>
        </w:rPr>
        <w:t>五、合同授予</w:t>
      </w:r>
    </w:p>
    <w:p>
      <w:pPr>
        <w:pStyle w:val="17"/>
        <w:widowControl/>
        <w:spacing w:beforeAutospacing="0" w:afterAutospacing="0" w:line="276" w:lineRule="auto"/>
        <w:rPr>
          <w:rFonts w:ascii="仿宋" w:hAnsi="仿宋" w:eastAsia="仿宋" w:cs="仿宋"/>
          <w:color w:val="auto"/>
        </w:rPr>
      </w:pPr>
      <w:r>
        <w:rPr>
          <w:rStyle w:val="23"/>
          <w:rFonts w:hint="eastAsia" w:ascii="仿宋" w:hAnsi="仿宋" w:eastAsia="仿宋" w:cs="仿宋"/>
          <w:color w:val="auto"/>
        </w:rPr>
        <w:t>15.授予合同的准则：</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15.1除不可抗力等因素外，合同将授予响应文件符合竞争性谈判文件要求，能够圆满地履行合同，且被谈判小组推荐为第一成交候选人的供应商。</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15.2 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15.3为维护国家利益和社会公共利益，最低报价不是被授予合同的绝对保证。</w:t>
      </w:r>
    </w:p>
    <w:p>
      <w:pPr>
        <w:pStyle w:val="17"/>
        <w:widowControl/>
        <w:spacing w:beforeAutospacing="0" w:afterAutospacing="0" w:line="276" w:lineRule="auto"/>
        <w:rPr>
          <w:rFonts w:ascii="仿宋" w:hAnsi="仿宋" w:eastAsia="仿宋" w:cs="仿宋"/>
          <w:color w:val="auto"/>
        </w:rPr>
      </w:pPr>
      <w:r>
        <w:rPr>
          <w:rStyle w:val="23"/>
          <w:rFonts w:hint="eastAsia" w:ascii="仿宋" w:hAnsi="仿宋" w:eastAsia="仿宋" w:cs="仿宋"/>
          <w:color w:val="auto"/>
        </w:rPr>
        <w:t>16.确定成交供应商：</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16.1采购人委托代理机构组织竞争性谈判采购活动的，采购代理机构在评审结束后2个工作日内将评审报告送采购人确认。</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16.2采购人在收到评审报告后5个工作日内，从评审报告提出的成交候选人中，根据质量和服务均能满足采购文件实质性响应要求且最后报价评审价最低的原则确定成交供应商，也可以书面授权谈判小组直接确定成交供应商。采购人逾期未确定成交供应商且不提出异议的，视为确定评审报告提出的最后报价评审价最低的供应商为成交供应商。</w:t>
      </w:r>
    </w:p>
    <w:p>
      <w:pPr>
        <w:pStyle w:val="17"/>
        <w:widowControl/>
        <w:spacing w:beforeAutospacing="0" w:afterAutospacing="0" w:line="276" w:lineRule="auto"/>
        <w:rPr>
          <w:rFonts w:ascii="仿宋" w:hAnsi="仿宋" w:eastAsia="仿宋" w:cs="仿宋"/>
          <w:color w:val="auto"/>
        </w:rPr>
      </w:pPr>
      <w:r>
        <w:rPr>
          <w:rStyle w:val="23"/>
          <w:rFonts w:hint="eastAsia" w:ascii="仿宋" w:hAnsi="仿宋" w:eastAsia="仿宋" w:cs="仿宋"/>
          <w:color w:val="auto"/>
        </w:rPr>
        <w:t>17.成交通知:</w:t>
      </w:r>
    </w:p>
    <w:p>
      <w:pPr>
        <w:pStyle w:val="17"/>
        <w:widowControl/>
        <w:spacing w:beforeAutospacing="0" w:afterAutospacing="0" w:line="276" w:lineRule="auto"/>
        <w:ind w:firstLine="480" w:firstLineChars="200"/>
        <w:rPr>
          <w:rFonts w:ascii="仿宋" w:hAnsi="仿宋" w:eastAsia="仿宋" w:cs="仿宋"/>
          <w:color w:val="auto"/>
        </w:rPr>
      </w:pPr>
      <w:r>
        <w:rPr>
          <w:rFonts w:hint="eastAsia" w:ascii="仿宋" w:hAnsi="仿宋" w:eastAsia="仿宋" w:cs="仿宋"/>
          <w:color w:val="auto"/>
        </w:rPr>
        <w:t>17.1采购人或者采购代理机构在成交供应商确定后2个工作日内，在省级以上财政部门指定的媒体上公告成交结果，同时向成交供应商发出成交通知书。采用书面推荐供应商参加采购活动的，还将公告采购人和评审专家的推荐意见。</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w:t>
      </w:r>
      <w:r>
        <w:rPr>
          <w:rFonts w:hint="eastAsia" w:ascii="仿宋" w:hAnsi="仿宋" w:eastAsia="仿宋" w:cs="仿宋"/>
          <w:color w:val="auto"/>
          <w:lang w:val="en-US" w:eastAsia="zh-CN"/>
        </w:rPr>
        <w:t xml:space="preserve">   </w:t>
      </w:r>
      <w:r>
        <w:rPr>
          <w:rFonts w:hint="eastAsia" w:ascii="仿宋" w:hAnsi="仿宋" w:eastAsia="仿宋" w:cs="仿宋"/>
          <w:color w:val="auto"/>
        </w:rPr>
        <w:t>17.2成交通知书对采购人和成交供应商具有同等法律效力。除不可抗力因素或政策原因外，成交通知书发出后，采购人改变成交结果，或者成交供应商拒绝签订政府采购合同的，均应当承担相应的法律责任。未成交供应商对成交结果公告如果有异议的，应当自成交结果公告刊登之日起7个工作日内，以书面形式向采购人或采购代理机构提出质疑，有关质疑、投诉的相关规定和要求，按照《中华人民共和国政府采购法》、《中华人民共和国政府采购法实施条例》、有关财政部规章等法律文件规定执行。</w:t>
      </w:r>
    </w:p>
    <w:p>
      <w:pPr>
        <w:pStyle w:val="17"/>
        <w:widowControl/>
        <w:spacing w:beforeAutospacing="0" w:afterAutospacing="0" w:line="276" w:lineRule="auto"/>
        <w:rPr>
          <w:rFonts w:ascii="仿宋" w:hAnsi="仿宋" w:eastAsia="仿宋" w:cs="仿宋"/>
          <w:color w:val="auto"/>
        </w:rPr>
      </w:pPr>
      <w:r>
        <w:rPr>
          <w:rStyle w:val="23"/>
          <w:rFonts w:hint="eastAsia" w:ascii="仿宋" w:hAnsi="仿宋" w:eastAsia="仿宋" w:cs="仿宋"/>
          <w:color w:val="auto"/>
        </w:rPr>
        <w:t>18.签订合同：</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w:t>
      </w:r>
      <w:r>
        <w:rPr>
          <w:rFonts w:hint="eastAsia" w:ascii="仿宋" w:hAnsi="仿宋" w:eastAsia="仿宋" w:cs="仿宋"/>
          <w:color w:val="auto"/>
          <w:lang w:val="en-US" w:eastAsia="zh-CN"/>
        </w:rPr>
        <w:t xml:space="preserve">  </w:t>
      </w:r>
      <w:r>
        <w:rPr>
          <w:rFonts w:hint="eastAsia" w:ascii="仿宋" w:hAnsi="仿宋" w:eastAsia="仿宋" w:cs="仿宋"/>
          <w:color w:val="auto"/>
        </w:rPr>
        <w:t> 18.1采购人与成交供应商应当在成交通知书发出之日起30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供应商应当按照成交通知书的规定和要求，及时与采购人签订合同。</w:t>
      </w:r>
    </w:p>
    <w:p>
      <w:pPr>
        <w:pStyle w:val="17"/>
        <w:widowControl/>
        <w:spacing w:beforeAutospacing="0" w:afterAutospacing="0" w:line="276" w:lineRule="auto"/>
        <w:ind w:firstLine="240" w:firstLineChars="100"/>
        <w:rPr>
          <w:rFonts w:ascii="仿宋" w:hAnsi="仿宋" w:eastAsia="仿宋" w:cs="仿宋"/>
          <w:color w:val="auto"/>
        </w:rPr>
      </w:pPr>
      <w:r>
        <w:rPr>
          <w:rFonts w:hint="eastAsia" w:ascii="仿宋" w:hAnsi="仿宋" w:eastAsia="仿宋" w:cs="仿宋"/>
          <w:color w:val="auto"/>
        </w:rPr>
        <w:t>18.2竞争性谈判文件、成交供应商的响应文件及其有关澄清承诺文件等，均为签订政府采购合同的依据和组成部分。</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w:t>
      </w:r>
      <w:r>
        <w:rPr>
          <w:rFonts w:hint="eastAsia" w:ascii="仿宋" w:hAnsi="仿宋" w:eastAsia="仿宋" w:cs="仿宋"/>
          <w:color w:val="auto"/>
          <w:lang w:val="en-US" w:eastAsia="zh-CN"/>
        </w:rPr>
        <w:t xml:space="preserve">  </w:t>
      </w:r>
      <w:r>
        <w:rPr>
          <w:rFonts w:hint="eastAsia" w:ascii="仿宋" w:hAnsi="仿宋" w:eastAsia="仿宋" w:cs="仿宋"/>
          <w:color w:val="auto"/>
        </w:rPr>
        <w:t>18.3采购人不得向成交供应商提出超出竞争性谈判文件以外的任何要求作为签订合同的条件，不得与成交供应商订立背离竞争性谈判文件确定的合同文本以及采购标的、规格型号、采购金额、采购数量、技术和服务要求等实质性内容的协议。</w:t>
      </w:r>
    </w:p>
    <w:p>
      <w:pPr>
        <w:pStyle w:val="17"/>
        <w:widowControl/>
        <w:spacing w:beforeAutospacing="0" w:afterAutospacing="0" w:line="276" w:lineRule="auto"/>
        <w:rPr>
          <w:rFonts w:ascii="仿宋" w:hAnsi="仿宋" w:eastAsia="仿宋" w:cs="仿宋"/>
          <w:color w:val="auto"/>
        </w:rPr>
      </w:pPr>
    </w:p>
    <w:p>
      <w:pPr>
        <w:pStyle w:val="17"/>
        <w:widowControl/>
        <w:spacing w:beforeAutospacing="0" w:afterAutospacing="0" w:line="276" w:lineRule="auto"/>
        <w:jc w:val="center"/>
        <w:rPr>
          <w:rFonts w:ascii="仿宋" w:hAnsi="仿宋" w:eastAsia="仿宋" w:cs="仿宋"/>
          <w:color w:val="auto"/>
        </w:rPr>
      </w:pPr>
      <w:r>
        <w:rPr>
          <w:rStyle w:val="23"/>
          <w:rFonts w:hint="eastAsia" w:ascii="仿宋" w:hAnsi="仿宋" w:eastAsia="仿宋" w:cs="仿宋"/>
          <w:color w:val="auto"/>
        </w:rPr>
        <w:t>六、询问、质疑与投诉</w:t>
      </w:r>
    </w:p>
    <w:p>
      <w:pPr>
        <w:pStyle w:val="17"/>
        <w:widowControl/>
        <w:spacing w:beforeAutospacing="0" w:afterAutospacing="0" w:line="276" w:lineRule="auto"/>
        <w:rPr>
          <w:rFonts w:ascii="仿宋" w:hAnsi="仿宋" w:eastAsia="仿宋" w:cs="仿宋"/>
          <w:color w:val="auto"/>
        </w:rPr>
      </w:pPr>
      <w:r>
        <w:rPr>
          <w:rStyle w:val="23"/>
          <w:rFonts w:hint="eastAsia" w:ascii="仿宋" w:hAnsi="仿宋" w:eastAsia="仿宋" w:cs="仿宋"/>
          <w:color w:val="auto"/>
        </w:rPr>
        <w:t>19.询问</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19.1潜在供应商或供应商对本次采购活动的有关事项若有疑问，可向采购人或采购代理机构提出询问，采购人或采购代理机构将按照政府采购法及实施条例的有关规定进行答复。</w:t>
      </w:r>
    </w:p>
    <w:p>
      <w:pPr>
        <w:pStyle w:val="17"/>
        <w:widowControl/>
        <w:spacing w:beforeAutospacing="0" w:afterAutospacing="0" w:line="276" w:lineRule="auto"/>
        <w:rPr>
          <w:rFonts w:ascii="仿宋" w:hAnsi="仿宋" w:eastAsia="仿宋" w:cs="仿宋"/>
          <w:color w:val="auto"/>
        </w:rPr>
      </w:pPr>
      <w:r>
        <w:rPr>
          <w:rStyle w:val="23"/>
          <w:rFonts w:hint="eastAsia" w:ascii="仿宋" w:hAnsi="仿宋" w:eastAsia="仿宋" w:cs="仿宋"/>
          <w:color w:val="auto"/>
        </w:rPr>
        <w:t>20.质疑</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20.1质疑应在政府采购法及实施条例规定的时效内提出，并符合下列条件：</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20.1.1对谈判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20.1.2质疑人应提交质疑函原件。</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20.1.3质疑函应包括下列主要内容：</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①质疑人的基本信息，至少包括：全称、地址、邮政编码、联系人及联系电话等；适合自然人参加谈判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②所质疑项目的基本信息，至少包括：项目编号、项目名称等；</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③所质疑的具体事项（以下简称：“质疑事项”）；</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④质疑人自身权益受到损害的事实依据和证明材料，至少包括：</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a1所质疑的具体事项事实存在的证明材料；</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a2所质疑的具体事项事实导致质疑人自身权益受到损害的证明材料，如：采购文件、采购过程或成交结果违法违规，损害自已合法权益等证明材料；</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⑤针对质疑事项提出的明确请求和法律依据，</w:t>
      </w:r>
    </w:p>
    <w:p>
      <w:pPr>
        <w:pStyle w:val="17"/>
        <w:widowControl/>
        <w:spacing w:beforeAutospacing="0" w:afterAutospacing="0" w:line="276" w:lineRule="auto"/>
        <w:ind w:firstLine="480"/>
        <w:rPr>
          <w:rFonts w:ascii="仿宋" w:hAnsi="仿宋" w:eastAsia="仿宋" w:cs="仿宋"/>
          <w:color w:val="auto"/>
        </w:rPr>
      </w:pPr>
      <w:r>
        <w:rPr>
          <w:rFonts w:hint="eastAsia" w:ascii="仿宋" w:hAnsi="仿宋" w:eastAsia="仿宋" w:cs="仿宋"/>
          <w:color w:val="auto"/>
        </w:rPr>
        <w:t>前述明确请求指质疑人提出质疑的目的、希望采购人或采购代理机构对其质疑作出的处理结果，如：暂停采购活动、修改谈判文件、停止或纠正违法违规行为、成交结果无效、废标、重新采购等，质疑人提出质疑请求还应当对相应的法律依据进行说明。</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⑥提出质疑的日期以及质疑人代表联系方式，至少包括：姓名、手机、电子信箱、邮寄地址等。</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w:t>
      </w:r>
      <w:r>
        <w:rPr>
          <w:rFonts w:hint="eastAsia" w:ascii="仿宋" w:hAnsi="仿宋" w:eastAsia="仿宋" w:cs="仿宋"/>
          <w:color w:val="auto"/>
          <w:lang w:val="en-US" w:eastAsia="zh-CN"/>
        </w:rPr>
        <w:t xml:space="preserve"> </w:t>
      </w:r>
      <w:r>
        <w:rPr>
          <w:rFonts w:hint="eastAsia" w:ascii="仿宋" w:hAnsi="仿宋" w:eastAsia="仿宋" w:cs="仿宋"/>
          <w:color w:val="auto"/>
        </w:rPr>
        <w:t>20.2对不符合前文第20.1条规定的质疑，采购人或采购代理机构将按照下列规定进行处理：</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w:t>
      </w:r>
      <w:r>
        <w:rPr>
          <w:rFonts w:hint="eastAsia" w:ascii="仿宋" w:hAnsi="仿宋" w:eastAsia="仿宋" w:cs="仿宋"/>
          <w:color w:val="auto"/>
          <w:lang w:val="en-US" w:eastAsia="zh-CN"/>
        </w:rPr>
        <w:t xml:space="preserve"> </w:t>
      </w:r>
      <w:r>
        <w:rPr>
          <w:rFonts w:hint="eastAsia" w:ascii="仿宋" w:hAnsi="仿宋" w:eastAsia="仿宋" w:cs="仿宋"/>
          <w:color w:val="auto"/>
        </w:rPr>
        <w:t>20.2.1超过质疑时效提交的或者质疑人不是直接参与所质疑项目采购活动的供应商，书面告知质疑人其质疑不成立的原因和理由。</w:t>
      </w:r>
    </w:p>
    <w:p>
      <w:pPr>
        <w:pStyle w:val="17"/>
        <w:widowControl/>
        <w:spacing w:beforeAutospacing="0" w:afterAutospacing="0" w:line="276" w:lineRule="auto"/>
        <w:ind w:firstLine="240" w:firstLineChars="100"/>
        <w:rPr>
          <w:rFonts w:ascii="仿宋" w:hAnsi="仿宋" w:eastAsia="仿宋" w:cs="仿宋"/>
          <w:color w:val="auto"/>
        </w:rPr>
      </w:pPr>
      <w:r>
        <w:rPr>
          <w:rFonts w:hint="eastAsia" w:ascii="仿宋" w:hAnsi="仿宋" w:eastAsia="仿宋" w:cs="仿宋"/>
          <w:color w:val="auto"/>
        </w:rPr>
        <w:t>20.2.2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pStyle w:val="17"/>
        <w:widowControl/>
        <w:spacing w:beforeAutospacing="0" w:afterAutospacing="0" w:line="276" w:lineRule="auto"/>
        <w:ind w:firstLine="240" w:firstLineChars="100"/>
        <w:rPr>
          <w:rFonts w:ascii="仿宋" w:hAnsi="仿宋" w:eastAsia="仿宋" w:cs="仿宋"/>
          <w:color w:val="auto"/>
        </w:rPr>
      </w:pPr>
      <w:r>
        <w:rPr>
          <w:rFonts w:hint="eastAsia" w:ascii="仿宋" w:hAnsi="仿宋" w:eastAsia="仿宋" w:cs="仿宋"/>
          <w:color w:val="auto"/>
        </w:rPr>
        <w:t>20.2.3质疑人修改、补充质疑函超过质疑时效提交的按20.2.1款处理。供应商提交质疑函时，要认真阅读本章第20条关于质疑的相关规定，以免内容或资料不齐，需要修改补充而延误时间。</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w:t>
      </w:r>
      <w:r>
        <w:rPr>
          <w:rFonts w:hint="eastAsia" w:ascii="仿宋" w:hAnsi="仿宋" w:eastAsia="仿宋" w:cs="仿宋"/>
          <w:color w:val="auto"/>
          <w:lang w:val="en-US" w:eastAsia="zh-CN"/>
        </w:rPr>
        <w:t xml:space="preserve"> </w:t>
      </w:r>
      <w:r>
        <w:rPr>
          <w:rFonts w:hint="eastAsia" w:ascii="仿宋" w:hAnsi="仿宋" w:eastAsia="仿宋" w:cs="仿宋"/>
          <w:color w:val="auto"/>
        </w:rPr>
        <w:t>20.3对符合前文第20.1条规定的质疑，采购人或采购代理机构将按照政府采购法及实施条例的有关规定进行答复。</w:t>
      </w:r>
    </w:p>
    <w:p>
      <w:pPr>
        <w:pStyle w:val="17"/>
        <w:widowControl/>
        <w:spacing w:beforeAutospacing="0" w:afterAutospacing="0" w:line="276" w:lineRule="auto"/>
        <w:rPr>
          <w:rFonts w:ascii="仿宋" w:hAnsi="仿宋" w:eastAsia="仿宋" w:cs="仿宋"/>
          <w:color w:val="auto"/>
        </w:rPr>
      </w:pPr>
      <w:r>
        <w:rPr>
          <w:rStyle w:val="23"/>
          <w:rFonts w:hint="eastAsia" w:ascii="仿宋" w:hAnsi="仿宋" w:eastAsia="仿宋" w:cs="仿宋"/>
          <w:color w:val="auto"/>
        </w:rPr>
        <w:t>21.投诉</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21.1若对质疑答复不满意或质疑答复未在答复期限内作出，质疑人可在答复期限届满之日起15个工作日内向谈判文件中载明的监督管理部门投诉。</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21.1投诉应有明确的请求和必要的证明材料，投诉的事项不得超出已质疑事项的范围。</w:t>
      </w:r>
    </w:p>
    <w:p>
      <w:pPr>
        <w:pStyle w:val="17"/>
        <w:widowControl/>
        <w:spacing w:beforeAutospacing="0" w:afterAutospacing="0" w:line="276" w:lineRule="auto"/>
        <w:rPr>
          <w:rFonts w:ascii="仿宋" w:hAnsi="仿宋" w:eastAsia="仿宋" w:cs="仿宋"/>
          <w:color w:val="auto"/>
        </w:rPr>
      </w:pPr>
    </w:p>
    <w:p>
      <w:pPr>
        <w:pStyle w:val="17"/>
        <w:widowControl/>
        <w:spacing w:beforeAutospacing="0" w:afterAutospacing="0" w:line="276" w:lineRule="auto"/>
        <w:jc w:val="center"/>
        <w:rPr>
          <w:rFonts w:ascii="仿宋" w:hAnsi="仿宋" w:eastAsia="仿宋" w:cs="仿宋"/>
          <w:color w:val="auto"/>
        </w:rPr>
      </w:pPr>
      <w:r>
        <w:rPr>
          <w:rStyle w:val="23"/>
          <w:rFonts w:hint="eastAsia" w:ascii="仿宋" w:hAnsi="仿宋" w:eastAsia="仿宋" w:cs="仿宋"/>
          <w:color w:val="auto"/>
        </w:rPr>
        <w:t>七、有关信息公告和监督部门</w:t>
      </w:r>
    </w:p>
    <w:p>
      <w:pPr>
        <w:pStyle w:val="17"/>
        <w:widowControl/>
        <w:spacing w:beforeAutospacing="0" w:afterAutospacing="0" w:line="276" w:lineRule="auto"/>
        <w:rPr>
          <w:rFonts w:ascii="仿宋" w:hAnsi="仿宋" w:eastAsia="仿宋" w:cs="仿宋"/>
          <w:color w:val="auto"/>
        </w:rPr>
      </w:pPr>
      <w:r>
        <w:rPr>
          <w:rStyle w:val="23"/>
          <w:rFonts w:hint="eastAsia" w:ascii="仿宋" w:hAnsi="仿宋" w:eastAsia="仿宋" w:cs="仿宋"/>
          <w:color w:val="auto"/>
        </w:rPr>
        <w:t> 22.政府采购信息公告媒体</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22.1本项目的有关信息，包括但不限于采购公告、更正公告（若有）、谈判文件、谈判文件的澄清或修改（若有）、成交公告、终止公告（若有）、废标公告（若有）等都将在谈判文件载明的指定媒体发布。潜在供应商或供应商务必随时关注，以免遗漏。</w:t>
      </w:r>
    </w:p>
    <w:p>
      <w:pPr>
        <w:pStyle w:val="17"/>
        <w:widowControl/>
        <w:spacing w:beforeAutospacing="0" w:afterAutospacing="0" w:line="276" w:lineRule="auto"/>
        <w:rPr>
          <w:rFonts w:ascii="仿宋" w:hAnsi="仿宋" w:eastAsia="仿宋" w:cs="仿宋"/>
          <w:color w:val="auto"/>
        </w:rPr>
      </w:pPr>
      <w:r>
        <w:rPr>
          <w:rFonts w:hint="eastAsia" w:ascii="仿宋" w:hAnsi="仿宋" w:eastAsia="仿宋" w:cs="仿宋"/>
          <w:color w:val="auto"/>
        </w:rPr>
        <w:t>  22.2信息公告指定媒体：详见竞争性谈判须知前附表第</w:t>
      </w:r>
      <w:r>
        <w:rPr>
          <w:rFonts w:hint="eastAsia" w:ascii="仿宋" w:hAnsi="仿宋" w:eastAsia="仿宋" w:cs="仿宋"/>
          <w:color w:val="auto"/>
          <w:lang w:val="en-US" w:eastAsia="zh-CN"/>
        </w:rPr>
        <w:t>10</w:t>
      </w:r>
      <w:r>
        <w:rPr>
          <w:rFonts w:hint="eastAsia" w:ascii="仿宋" w:hAnsi="仿宋" w:eastAsia="仿宋" w:cs="仿宋"/>
          <w:color w:val="auto"/>
        </w:rPr>
        <w:t>项。</w:t>
      </w:r>
    </w:p>
    <w:p>
      <w:pPr>
        <w:pStyle w:val="17"/>
        <w:widowControl/>
        <w:spacing w:beforeAutospacing="0" w:afterAutospacing="0" w:line="276" w:lineRule="auto"/>
        <w:rPr>
          <w:rFonts w:ascii="仿宋" w:hAnsi="仿宋" w:eastAsia="仿宋" w:cs="仿宋"/>
          <w:color w:val="auto"/>
        </w:rPr>
      </w:pPr>
      <w:r>
        <w:rPr>
          <w:rStyle w:val="23"/>
          <w:rFonts w:hint="eastAsia" w:ascii="仿宋" w:hAnsi="仿宋" w:eastAsia="仿宋" w:cs="仿宋"/>
          <w:color w:val="auto"/>
        </w:rPr>
        <w:t>23.监督管理部门</w:t>
      </w:r>
    </w:p>
    <w:p>
      <w:pPr>
        <w:pStyle w:val="17"/>
        <w:widowControl/>
        <w:spacing w:beforeAutospacing="0" w:afterAutospacing="0" w:line="276" w:lineRule="auto"/>
        <w:rPr>
          <w:rStyle w:val="23"/>
          <w:rFonts w:ascii="仿宋" w:hAnsi="仿宋" w:eastAsia="仿宋" w:cs="仿宋"/>
          <w:b w:val="0"/>
          <w:color w:val="auto"/>
        </w:rPr>
      </w:pPr>
      <w:r>
        <w:rPr>
          <w:rFonts w:hint="eastAsia" w:ascii="仿宋" w:hAnsi="仿宋" w:eastAsia="仿宋" w:cs="仿宋"/>
          <w:color w:val="auto"/>
        </w:rPr>
        <w:t>  23.1谈判采购活动的监督管理部门详见竞争性谈判须知前附表第</w:t>
      </w:r>
      <w:r>
        <w:rPr>
          <w:rFonts w:hint="eastAsia" w:ascii="仿宋" w:hAnsi="仿宋" w:eastAsia="仿宋" w:cs="仿宋"/>
          <w:color w:val="auto"/>
          <w:lang w:val="en-US" w:eastAsia="zh-CN"/>
        </w:rPr>
        <w:t>11</w:t>
      </w:r>
      <w:r>
        <w:rPr>
          <w:rFonts w:hint="eastAsia" w:ascii="仿宋" w:hAnsi="仿宋" w:eastAsia="仿宋" w:cs="仿宋"/>
          <w:color w:val="auto"/>
        </w:rPr>
        <w:t>项。</w:t>
      </w:r>
    </w:p>
    <w:p>
      <w:pPr>
        <w:pStyle w:val="17"/>
        <w:widowControl/>
        <w:spacing w:beforeAutospacing="0" w:afterAutospacing="0" w:line="276" w:lineRule="auto"/>
        <w:jc w:val="center"/>
        <w:rPr>
          <w:rStyle w:val="23"/>
          <w:rFonts w:ascii="仿宋" w:hAnsi="仿宋" w:eastAsia="仿宋" w:cs="仿宋"/>
          <w:color w:val="auto"/>
        </w:rPr>
      </w:pPr>
    </w:p>
    <w:p>
      <w:pPr>
        <w:pStyle w:val="17"/>
        <w:widowControl/>
        <w:spacing w:beforeAutospacing="0" w:afterAutospacing="0" w:line="276" w:lineRule="auto"/>
        <w:jc w:val="center"/>
        <w:rPr>
          <w:rStyle w:val="23"/>
          <w:rFonts w:hint="eastAsia" w:ascii="仿宋" w:hAnsi="仿宋" w:eastAsia="仿宋" w:cs="仿宋"/>
          <w:color w:val="auto"/>
        </w:rPr>
      </w:pPr>
      <w:r>
        <w:rPr>
          <w:rStyle w:val="23"/>
          <w:rFonts w:hint="eastAsia" w:ascii="仿宋" w:hAnsi="仿宋" w:eastAsia="仿宋" w:cs="仿宋"/>
          <w:color w:val="auto"/>
        </w:rPr>
        <w:t>八、政府采购政策</w:t>
      </w:r>
    </w:p>
    <w:p>
      <w:pPr>
        <w:pStyle w:val="17"/>
        <w:widowControl/>
        <w:spacing w:beforeAutospacing="0" w:afterAutospacing="0" w:line="276" w:lineRule="auto"/>
        <w:rPr>
          <w:rFonts w:ascii="仿宋" w:hAnsi="仿宋" w:eastAsia="仿宋" w:cs="仿宋"/>
          <w:color w:val="auto"/>
        </w:rPr>
      </w:pPr>
      <w:r>
        <w:rPr>
          <w:rFonts w:ascii="仿宋" w:hAnsi="仿宋" w:eastAsia="仿宋" w:cs="仿宋"/>
          <w:color w:val="auto"/>
        </w:rPr>
        <w:t>24、政府采购政策由财政部根据国家的经济和社会发展政策并会同国家有关部委制定，包括但不限于下列管理办法或措施：</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24.1进口产品指通过中国海关报关验放进入中国境内且产自关境外的产品，其中：</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（2）凡在海关特殊监管区域内企业生产或加工（包括从境外进口料件）销往境内其他地区的产品，不作为政府采购项下进口产品。</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（3）对从境外进入海关特殊监管区域，再经办理报关手续后从海关特殊监管区进入境内其他地区的产品，认定为进口产品。</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（4）谈判文件列明不允许或未列明允许进口产品参加报价的，均视为拒绝进口产品参加报价。</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 xml:space="preserve">24.2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 </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24.3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24.4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17"/>
        <w:widowControl/>
        <w:spacing w:beforeAutospacing="0" w:afterAutospacing="0" w:line="276" w:lineRule="auto"/>
        <w:ind w:firstLine="240" w:firstLineChars="100"/>
        <w:rPr>
          <w:rFonts w:ascii="仿宋" w:hAnsi="仿宋" w:eastAsia="仿宋" w:cs="仿宋"/>
          <w:color w:val="auto"/>
        </w:rPr>
      </w:pPr>
      <w:r>
        <w:rPr>
          <w:rFonts w:ascii="仿宋" w:hAnsi="仿宋" w:eastAsia="仿宋" w:cs="仿宋"/>
          <w:color w:val="auto"/>
        </w:rPr>
        <w:t>（1）中小企业指符合下列条件的中型、小型、微型企业：</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②符合中小企业划分标准的个体工商户，在政府采购活动中视同中小企业。</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（2）在政府采购活动中，供应商提供的货物、工程或者服务符合下列情形的，享受本办法规定的中小企业扶持政策：</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①在货物采购项目中，货物由中小企业制造，即货物由中小企业生产且使用该中小企业商号或者注册商标；</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②在工程采购项目中，工程由中小企业承建，即工程施工单位为中小企业；</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③在服务采购项目中，服务由中小企业承接，即提供服务的人员为中小企业依照《中华人民共和国劳动合同法》 订立劳动合同的从业人员。</w:t>
      </w:r>
    </w:p>
    <w:p>
      <w:pPr>
        <w:pStyle w:val="17"/>
        <w:widowControl/>
        <w:spacing w:beforeAutospacing="0" w:afterAutospacing="0" w:line="276" w:lineRule="auto"/>
        <w:rPr>
          <w:rFonts w:ascii="仿宋" w:hAnsi="仿宋" w:eastAsia="仿宋" w:cs="仿宋"/>
          <w:color w:val="auto"/>
        </w:rPr>
      </w:pPr>
      <w:r>
        <w:rPr>
          <w:rFonts w:ascii="仿宋" w:hAnsi="仿宋" w:eastAsia="仿宋" w:cs="仿宋"/>
          <w:color w:val="auto"/>
        </w:rPr>
        <w:t>在货物采购项目中，供应商提供的货物既有中小企业制造货物，也有大型企业制造货物的，不享受本办法规定的中小企业扶持政策。</w:t>
      </w:r>
    </w:p>
    <w:p>
      <w:pPr>
        <w:pStyle w:val="17"/>
        <w:widowControl/>
        <w:spacing w:beforeAutospacing="0" w:afterAutospacing="0" w:line="276" w:lineRule="auto"/>
        <w:rPr>
          <w:rFonts w:ascii="仿宋" w:hAnsi="仿宋" w:eastAsia="仿宋" w:cs="仿宋"/>
          <w:color w:val="auto"/>
        </w:rPr>
      </w:pPr>
      <w:r>
        <w:rPr>
          <w:rFonts w:ascii="仿宋" w:hAnsi="仿宋" w:eastAsia="仿宋" w:cs="仿宋"/>
          <w:color w:val="auto"/>
        </w:rPr>
        <w:t>以联合体形式参加政府采购活动，联合体各方均为中小企业的，联合体视同中小企业。其中，联合体各方均为小微企业的，联合体视同小微企业。</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（3）供应商应当按照谈判文件明确的采购标的对应行业的划分标准出具中小企业声明函。</w:t>
      </w:r>
    </w:p>
    <w:p>
      <w:pPr>
        <w:pStyle w:val="17"/>
        <w:widowControl/>
        <w:spacing w:beforeAutospacing="0" w:afterAutospacing="0" w:line="276" w:lineRule="auto"/>
        <w:rPr>
          <w:rFonts w:ascii="仿宋" w:hAnsi="仿宋" w:eastAsia="仿宋" w:cs="仿宋"/>
          <w:color w:val="auto"/>
        </w:rPr>
      </w:pPr>
      <w:r>
        <w:rPr>
          <w:rFonts w:ascii="仿宋" w:hAnsi="仿宋" w:eastAsia="仿宋" w:cs="仿宋"/>
          <w:color w:val="auto"/>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①监狱企业参加采购活动时，应提供由省级以上监狱管理局、戒毒管理局（含新疆生产建设兵团）出具的属于监狱企业的证明文件。</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②监狱企业视同小型、微型企业。</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（5）残疾人福利性单位指同时符合下列条件的单位：</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①安置的残疾人占本单位在职职工人数的比例不低于25%（含25%），并且安置的残疾人人数不少于10人（含10人）；</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②依法与安置的每位残疾人签订了一年以上（含一年）的劳动合同或服务协议；</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③为安置的每位残疾人按月足额缴纳了基本养老保险、基本医疗保险、失业保险、工伤保险和生育保险等社会保险费；</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④通过银行等金融机构向安置的每位残疾人，按月支付了不低于单位所在区县适用的经省级人民政府批准的月最低工资标准的工资；</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⑤提供本单位制造的货物、承担的工程或服务，或提供其他残疾人福利性单位制造的货物（不包括使用非残疾人福利性单位注册商标的货物）。</w:t>
      </w:r>
    </w:p>
    <w:p>
      <w:pPr>
        <w:pStyle w:val="17"/>
        <w:widowControl/>
        <w:spacing w:beforeAutospacing="0" w:afterAutospacing="0" w:line="276" w:lineRule="auto"/>
        <w:rPr>
          <w:rFonts w:ascii="仿宋" w:hAnsi="仿宋" w:eastAsia="仿宋" w:cs="仿宋"/>
          <w:color w:val="auto"/>
        </w:rPr>
      </w:pPr>
      <w:r>
        <w:rPr>
          <w:rFonts w:ascii="仿宋" w:hAnsi="仿宋" w:eastAsia="仿宋" w:cs="仿宋"/>
          <w:color w:val="auto"/>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7"/>
        <w:widowControl/>
        <w:spacing w:beforeAutospacing="0" w:afterAutospacing="0" w:line="276" w:lineRule="auto"/>
        <w:rPr>
          <w:rFonts w:ascii="仿宋" w:hAnsi="仿宋" w:eastAsia="仿宋" w:cs="仿宋"/>
          <w:color w:val="auto"/>
        </w:rPr>
      </w:pPr>
      <w:r>
        <w:rPr>
          <w:rFonts w:ascii="仿宋" w:hAnsi="仿宋" w:eastAsia="仿宋" w:cs="仿宋"/>
          <w:color w:val="auto"/>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24.5信用记录指由财政部确定的有关网站提供的相关主体信用信息。信用记录的查询及使用应符合财政部文件（财库[2016]125号）规定。</w:t>
      </w:r>
    </w:p>
    <w:p>
      <w:pPr>
        <w:pStyle w:val="17"/>
        <w:widowControl/>
        <w:spacing w:beforeAutospacing="0" w:afterAutospacing="0" w:line="276" w:lineRule="auto"/>
        <w:jc w:val="center"/>
        <w:rPr>
          <w:rStyle w:val="23"/>
          <w:rFonts w:hint="eastAsia" w:ascii="仿宋" w:hAnsi="仿宋" w:eastAsia="仿宋" w:cs="仿宋"/>
          <w:color w:val="auto"/>
        </w:rPr>
      </w:pPr>
    </w:p>
    <w:p>
      <w:pPr>
        <w:pStyle w:val="17"/>
        <w:widowControl/>
        <w:spacing w:beforeAutospacing="0" w:afterAutospacing="0" w:line="276" w:lineRule="auto"/>
        <w:jc w:val="center"/>
        <w:rPr>
          <w:rStyle w:val="23"/>
          <w:rFonts w:hint="eastAsia" w:ascii="仿宋" w:hAnsi="仿宋" w:eastAsia="仿宋" w:cs="仿宋"/>
          <w:color w:val="auto"/>
        </w:rPr>
      </w:pPr>
      <w:r>
        <w:rPr>
          <w:rStyle w:val="23"/>
          <w:rFonts w:hint="eastAsia" w:ascii="仿宋" w:hAnsi="仿宋" w:eastAsia="仿宋" w:cs="仿宋"/>
          <w:color w:val="auto"/>
        </w:rPr>
        <w:t>九、根据采购项目特点或政策需要补充的其他内容</w:t>
      </w:r>
    </w:p>
    <w:p>
      <w:pPr>
        <w:pStyle w:val="17"/>
        <w:widowControl/>
        <w:spacing w:beforeAutospacing="0" w:afterAutospacing="0" w:line="276" w:lineRule="auto"/>
        <w:rPr>
          <w:rFonts w:ascii="仿宋" w:hAnsi="仿宋" w:eastAsia="仿宋" w:cs="仿宋"/>
          <w:color w:val="auto"/>
        </w:rPr>
      </w:pPr>
      <w:r>
        <w:rPr>
          <w:rFonts w:ascii="仿宋" w:hAnsi="仿宋" w:eastAsia="仿宋" w:cs="仿宋"/>
          <w:color w:val="auto"/>
        </w:rPr>
        <w:t>25.履约保证金</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25.1采购人可以根据项目特点和需要，确定是否要求成交供应商在合同签订前，按照谈判文件规定的时间、形式、金额提交履约保证金，履约保证金的数额不超过中标合同金额的10%，具体详见竞争性谈判须知前附表第1</w:t>
      </w:r>
      <w:r>
        <w:rPr>
          <w:rFonts w:hint="eastAsia" w:ascii="仿宋" w:hAnsi="仿宋" w:eastAsia="仿宋" w:cs="仿宋"/>
          <w:color w:val="auto"/>
          <w:lang w:val="en-US" w:eastAsia="zh-CN"/>
        </w:rPr>
        <w:t>2</w:t>
      </w:r>
      <w:r>
        <w:rPr>
          <w:rFonts w:ascii="仿宋" w:hAnsi="仿宋" w:eastAsia="仿宋" w:cs="仿宋"/>
          <w:color w:val="auto"/>
        </w:rPr>
        <w:t>项规定。</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25.2谈判文件要求在合同签订前提交履约保证金，如果成交供应商无故拖延或者拒不提交履约保证金的，则视为成交供应商拒绝与采购人签订合同，该成交供应商将承担违法行为的法律责任。</w:t>
      </w:r>
    </w:p>
    <w:p>
      <w:pPr>
        <w:pStyle w:val="17"/>
        <w:widowControl/>
        <w:spacing w:beforeAutospacing="0" w:afterAutospacing="0" w:line="276" w:lineRule="auto"/>
        <w:rPr>
          <w:rFonts w:ascii="仿宋" w:hAnsi="仿宋" w:eastAsia="仿宋" w:cs="仿宋"/>
          <w:color w:val="auto"/>
        </w:rPr>
      </w:pPr>
      <w:r>
        <w:rPr>
          <w:rFonts w:ascii="仿宋" w:hAnsi="仿宋" w:eastAsia="仿宋" w:cs="仿宋"/>
          <w:color w:val="auto"/>
        </w:rPr>
        <w:t>26.其他新增内容：</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26.1根据采购项目特点或政策需要补充的其他新增内容详见竞争性谈判须知前附表第</w:t>
      </w:r>
      <w:r>
        <w:rPr>
          <w:rFonts w:hint="eastAsia" w:ascii="仿宋" w:hAnsi="仿宋" w:eastAsia="仿宋" w:cs="仿宋"/>
          <w:color w:val="auto"/>
          <w:lang w:val="en-US" w:eastAsia="zh-CN"/>
        </w:rPr>
        <w:t>13</w:t>
      </w:r>
      <w:r>
        <w:rPr>
          <w:rFonts w:ascii="仿宋" w:hAnsi="仿宋" w:eastAsia="仿宋" w:cs="仿宋"/>
          <w:color w:val="auto"/>
        </w:rPr>
        <w:t>项。</w:t>
      </w:r>
    </w:p>
    <w:p>
      <w:pPr>
        <w:pStyle w:val="17"/>
        <w:widowControl/>
        <w:spacing w:beforeAutospacing="0" w:afterAutospacing="0" w:line="276" w:lineRule="auto"/>
        <w:ind w:firstLine="480" w:firstLineChars="200"/>
        <w:rPr>
          <w:rFonts w:ascii="仿宋" w:hAnsi="仿宋" w:eastAsia="仿宋" w:cs="仿宋"/>
          <w:color w:val="auto"/>
        </w:rPr>
      </w:pPr>
      <w:r>
        <w:rPr>
          <w:rFonts w:ascii="仿宋" w:hAnsi="仿宋" w:eastAsia="仿宋" w:cs="仿宋"/>
          <w:color w:val="auto"/>
        </w:rPr>
        <w:t>26.2本项目中如涉及商品包装和快递包装的，其包装需求标准应不低于《关于印发〈商品包装政府采购需求标准(试行)〉、〈快递包装政府采购需求标准(试行)〉的通知》（财办库〔2020〕 123号）规定的包装要求，其他包装需求详见采购文件具体规定。采购人、成交人双方签订合同及验收环节，应包含上述包装要求的条款。</w:t>
      </w: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tLeast"/>
        <w:textAlignment w:val="auto"/>
        <w:rPr>
          <w:rFonts w:ascii="仿宋" w:hAnsi="仿宋" w:eastAsia="仿宋" w:cs="仿宋"/>
          <w:color w:val="auto"/>
        </w:rPr>
      </w:pP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tLeast"/>
        <w:textAlignment w:val="auto"/>
        <w:rPr>
          <w:rFonts w:ascii="仿宋" w:hAnsi="仿宋" w:eastAsia="仿宋" w:cs="仿宋"/>
          <w:color w:val="auto"/>
        </w:rPr>
      </w:pP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tLeast"/>
        <w:textAlignment w:val="auto"/>
        <w:rPr>
          <w:rFonts w:ascii="仿宋" w:hAnsi="仿宋" w:eastAsia="仿宋" w:cs="仿宋"/>
          <w:color w:val="auto"/>
        </w:rPr>
      </w:pP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tLeast"/>
        <w:textAlignment w:val="auto"/>
        <w:rPr>
          <w:rFonts w:ascii="仿宋" w:hAnsi="仿宋" w:eastAsia="仿宋" w:cs="仿宋"/>
          <w:color w:val="auto"/>
        </w:rPr>
      </w:pP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tLeast"/>
        <w:textAlignment w:val="auto"/>
        <w:rPr>
          <w:rFonts w:ascii="仿宋" w:hAnsi="仿宋" w:eastAsia="仿宋" w:cs="仿宋"/>
          <w:color w:val="auto"/>
        </w:rPr>
      </w:pP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tLeast"/>
        <w:textAlignment w:val="auto"/>
        <w:rPr>
          <w:rFonts w:ascii="仿宋" w:hAnsi="仿宋" w:eastAsia="仿宋" w:cs="仿宋"/>
          <w:color w:val="auto"/>
        </w:rPr>
      </w:pP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tLeast"/>
        <w:textAlignment w:val="auto"/>
        <w:rPr>
          <w:rFonts w:ascii="仿宋" w:hAnsi="仿宋" w:eastAsia="仿宋" w:cs="仿宋"/>
          <w:color w:val="auto"/>
        </w:rPr>
      </w:pP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tLeast"/>
        <w:textAlignment w:val="auto"/>
        <w:rPr>
          <w:rFonts w:ascii="仿宋" w:hAnsi="仿宋" w:eastAsia="仿宋" w:cs="仿宋"/>
          <w:color w:val="auto"/>
        </w:rPr>
      </w:pPr>
    </w:p>
    <w:p>
      <w:pPr>
        <w:pStyle w:val="17"/>
        <w:keepNext w:val="0"/>
        <w:keepLines w:val="0"/>
        <w:pageBreakBefore w:val="0"/>
        <w:widowControl/>
        <w:kinsoku/>
        <w:wordWrap/>
        <w:overflowPunct/>
        <w:topLinePunct w:val="0"/>
        <w:autoSpaceDE/>
        <w:autoSpaceDN/>
        <w:bidi w:val="0"/>
        <w:adjustRightInd/>
        <w:snapToGrid/>
        <w:spacing w:beforeAutospacing="0" w:afterAutospacing="0" w:line="360" w:lineRule="atLeast"/>
        <w:textAlignment w:val="auto"/>
        <w:rPr>
          <w:rFonts w:ascii="仿宋" w:hAnsi="仿宋" w:eastAsia="仿宋" w:cs="仿宋"/>
          <w:color w:val="auto"/>
        </w:rPr>
      </w:pPr>
    </w:p>
    <w:p>
      <w:pPr>
        <w:pStyle w:val="3"/>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Style w:val="23"/>
          <w:rFonts w:ascii="仿宋" w:hAnsi="仿宋" w:eastAsia="仿宋"/>
          <w:b/>
          <w:color w:val="auto"/>
          <w:szCs w:val="28"/>
        </w:rPr>
      </w:pPr>
      <w:bookmarkStart w:id="13" w:name="_Toc9861"/>
      <w:r>
        <w:rPr>
          <w:rFonts w:hint="eastAsia" w:ascii="仿宋" w:hAnsi="仿宋" w:eastAsia="仿宋" w:cs="仿宋"/>
          <w:color w:val="auto"/>
          <w:sz w:val="32"/>
          <w:szCs w:val="32"/>
        </w:rPr>
        <w:t>第三章</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采购内容及要求</w:t>
      </w:r>
      <w:bookmarkEnd w:id="13"/>
    </w:p>
    <w:p>
      <w:pPr>
        <w:keepNext w:val="0"/>
        <w:keepLines w:val="0"/>
        <w:pageBreakBefore w:val="0"/>
        <w:widowControl/>
        <w:numPr>
          <w:ilvl w:val="0"/>
          <w:numId w:val="0"/>
        </w:numPr>
        <w:kinsoku/>
        <w:wordWrap/>
        <w:overflowPunct/>
        <w:topLinePunct w:val="0"/>
        <w:autoSpaceDE/>
        <w:autoSpaceDN/>
        <w:bidi w:val="0"/>
        <w:adjustRightInd/>
        <w:snapToGrid/>
        <w:spacing w:line="360" w:lineRule="atLeast"/>
        <w:ind w:right="-708" w:rightChars="-337"/>
        <w:jc w:val="left"/>
        <w:textAlignment w:val="auto"/>
        <w:rPr>
          <w:rFonts w:hint="eastAsia" w:ascii="仿宋" w:hAnsi="仿宋" w:eastAsia="仿宋"/>
          <w:b/>
          <w:color w:val="auto"/>
          <w:sz w:val="24"/>
        </w:rPr>
      </w:pPr>
      <w:r>
        <w:rPr>
          <w:rFonts w:hint="eastAsia" w:ascii="仿宋" w:hAnsi="仿宋" w:eastAsia="仿宋"/>
          <w:b/>
          <w:color w:val="auto"/>
          <w:sz w:val="24"/>
          <w:lang w:eastAsia="zh-CN"/>
        </w:rPr>
        <w:t>一、</w:t>
      </w:r>
      <w:r>
        <w:rPr>
          <w:rFonts w:hint="eastAsia" w:ascii="仿宋" w:hAnsi="仿宋" w:eastAsia="仿宋"/>
          <w:b/>
          <w:color w:val="auto"/>
          <w:sz w:val="24"/>
        </w:rPr>
        <w:t>项目概况</w:t>
      </w:r>
    </w:p>
    <w:p>
      <w:pPr>
        <w:keepNext w:val="0"/>
        <w:keepLines w:val="0"/>
        <w:pageBreakBefore w:val="0"/>
        <w:widowControl/>
        <w:kinsoku/>
        <w:wordWrap/>
        <w:overflowPunct/>
        <w:topLinePunct w:val="0"/>
        <w:autoSpaceDE/>
        <w:autoSpaceDN/>
        <w:bidi w:val="0"/>
        <w:adjustRightInd/>
        <w:snapToGrid/>
        <w:spacing w:line="360" w:lineRule="atLeast"/>
        <w:jc w:val="left"/>
        <w:textAlignment w:val="auto"/>
        <w:rPr>
          <w:rFonts w:hint="eastAsia" w:ascii="仿宋" w:hAnsi="仿宋" w:eastAsia="仿宋" w:cs="宋体"/>
          <w:color w:val="auto"/>
          <w:kern w:val="0"/>
          <w:sz w:val="24"/>
          <w:lang w:val="en-US" w:eastAsia="zh-CN"/>
        </w:rPr>
      </w:pPr>
      <w:r>
        <w:rPr>
          <w:rFonts w:hint="eastAsia" w:ascii="仿宋" w:hAnsi="仿宋" w:eastAsia="仿宋" w:cs="宋体"/>
          <w:color w:val="auto"/>
          <w:kern w:val="0"/>
          <w:sz w:val="24"/>
          <w:lang w:val="en-US" w:eastAsia="zh-CN"/>
        </w:rPr>
        <w:t>1、本项目为泉州师范学院的主校区学生公寓走廊及卫生间吊顶板采购，本次维修更换范围包括但不限于B区5号楼、B区10号楼、C区14号楼走廊吊顶和四十多间宿舍卫生间吊顶板及灯具。</w:t>
      </w:r>
    </w:p>
    <w:p>
      <w:pPr>
        <w:keepNext w:val="0"/>
        <w:keepLines w:val="0"/>
        <w:pageBreakBefore w:val="0"/>
        <w:widowControl/>
        <w:kinsoku/>
        <w:wordWrap/>
        <w:overflowPunct/>
        <w:topLinePunct w:val="0"/>
        <w:autoSpaceDE/>
        <w:autoSpaceDN/>
        <w:bidi w:val="0"/>
        <w:adjustRightInd/>
        <w:snapToGrid/>
        <w:spacing w:line="360" w:lineRule="atLeast"/>
        <w:jc w:val="left"/>
        <w:textAlignment w:val="auto"/>
        <w:rPr>
          <w:rFonts w:hint="eastAsia" w:ascii="仿宋" w:hAnsi="仿宋" w:eastAsia="仿宋" w:cs="宋体"/>
          <w:color w:val="auto"/>
          <w:kern w:val="0"/>
          <w:sz w:val="24"/>
          <w:lang w:val="en-US" w:eastAsia="zh-CN"/>
        </w:rPr>
      </w:pPr>
      <w:r>
        <w:rPr>
          <w:rFonts w:hint="eastAsia" w:ascii="仿宋" w:hAnsi="仿宋" w:eastAsia="仿宋" w:cs="宋体"/>
          <w:color w:val="auto"/>
          <w:kern w:val="0"/>
          <w:sz w:val="24"/>
          <w:lang w:val="en-US" w:eastAsia="zh-CN"/>
        </w:rPr>
        <w:t>2、本项目不集中组织现场踏勘，供应商如有意踏勘现场的（相关责任由供应商自行承担），谈判公告期间，每天上午8:30—12:00可与校区管理人员联系踏勘现场，联系方式如下：官先生19859016716。</w:t>
      </w:r>
    </w:p>
    <w:p>
      <w:pPr>
        <w:keepNext w:val="0"/>
        <w:keepLines w:val="0"/>
        <w:pageBreakBefore w:val="0"/>
        <w:widowControl/>
        <w:kinsoku/>
        <w:wordWrap/>
        <w:overflowPunct/>
        <w:topLinePunct w:val="0"/>
        <w:autoSpaceDE/>
        <w:autoSpaceDN/>
        <w:bidi w:val="0"/>
        <w:adjustRightInd/>
        <w:snapToGrid/>
        <w:spacing w:line="360" w:lineRule="atLeast"/>
        <w:jc w:val="left"/>
        <w:textAlignment w:val="auto"/>
        <w:rPr>
          <w:rFonts w:hint="eastAsia" w:ascii="仿宋" w:hAnsi="仿宋" w:eastAsia="仿宋" w:cs="宋体"/>
          <w:color w:val="auto"/>
          <w:kern w:val="0"/>
          <w:sz w:val="24"/>
          <w:lang w:val="en-US" w:eastAsia="zh-CN"/>
        </w:rPr>
      </w:pPr>
      <w:r>
        <w:rPr>
          <w:rFonts w:hint="eastAsia" w:ascii="仿宋" w:hAnsi="仿宋" w:eastAsia="仿宋" w:cs="宋体"/>
          <w:color w:val="auto"/>
          <w:kern w:val="0"/>
          <w:sz w:val="24"/>
          <w:lang w:val="en-US" w:eastAsia="zh-CN"/>
        </w:rPr>
        <w:t>3、本项目最高控制价为人民币25.00万元。</w:t>
      </w:r>
    </w:p>
    <w:p>
      <w:pPr>
        <w:keepNext w:val="0"/>
        <w:keepLines w:val="0"/>
        <w:pageBreakBefore w:val="0"/>
        <w:widowControl/>
        <w:kinsoku/>
        <w:wordWrap/>
        <w:overflowPunct/>
        <w:topLinePunct w:val="0"/>
        <w:autoSpaceDE/>
        <w:autoSpaceDN/>
        <w:bidi w:val="0"/>
        <w:adjustRightInd/>
        <w:snapToGrid/>
        <w:spacing w:line="360" w:lineRule="atLeast"/>
        <w:jc w:val="left"/>
        <w:textAlignment w:val="auto"/>
        <w:rPr>
          <w:rFonts w:hint="eastAsia" w:ascii="仿宋" w:hAnsi="仿宋" w:eastAsia="仿宋"/>
          <w:b/>
          <w:color w:val="auto"/>
          <w:sz w:val="24"/>
        </w:rPr>
      </w:pPr>
      <w:r>
        <w:rPr>
          <w:rFonts w:hint="eastAsia" w:ascii="仿宋" w:hAnsi="仿宋" w:eastAsia="仿宋"/>
          <w:b/>
          <w:color w:val="auto"/>
          <w:sz w:val="24"/>
        </w:rPr>
        <w:t>二、技术要求和服务要求</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bCs/>
          <w:color w:val="auto"/>
          <w:kern w:val="0"/>
          <w:sz w:val="24"/>
          <w:szCs w:val="22"/>
          <w:lang w:val="en-US" w:eastAsia="zh-CN"/>
        </w:rPr>
      </w:pPr>
      <w:bookmarkStart w:id="14" w:name="_Toc12488"/>
      <w:r>
        <w:rPr>
          <w:rFonts w:hint="eastAsia" w:ascii="仿宋" w:hAnsi="仿宋" w:eastAsia="仿宋" w:cs="仿宋"/>
          <w:b/>
          <w:bCs/>
          <w:color w:val="auto"/>
          <w:kern w:val="0"/>
          <w:sz w:val="24"/>
          <w:szCs w:val="22"/>
          <w:lang w:val="en-US" w:eastAsia="zh-CN"/>
        </w:rPr>
        <w:t>（一）采购清单及参数要求</w:t>
      </w:r>
    </w:p>
    <w:tbl>
      <w:tblPr>
        <w:tblStyle w:val="20"/>
        <w:tblW w:w="53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150"/>
        <w:gridCol w:w="4425"/>
        <w:gridCol w:w="844"/>
        <w:gridCol w:w="825"/>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394"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618"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品名</w:t>
            </w:r>
          </w:p>
        </w:tc>
        <w:tc>
          <w:tcPr>
            <w:tcW w:w="2381"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参数</w:t>
            </w:r>
          </w:p>
        </w:tc>
        <w:tc>
          <w:tcPr>
            <w:tcW w:w="454"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highlight w:val="none"/>
              </w:rPr>
              <w:t>数量</w:t>
            </w:r>
          </w:p>
        </w:tc>
        <w:tc>
          <w:tcPr>
            <w:tcW w:w="444"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kern w:val="0"/>
                <w:sz w:val="24"/>
                <w:szCs w:val="24"/>
                <w:highlight w:val="none"/>
                <w:lang w:eastAsia="zh-CN"/>
              </w:rPr>
            </w:pPr>
            <w:r>
              <w:rPr>
                <w:rFonts w:hint="eastAsia" w:ascii="仿宋" w:hAnsi="仿宋" w:eastAsia="仿宋" w:cs="仿宋"/>
                <w:b/>
                <w:bCs/>
                <w:kern w:val="0"/>
                <w:sz w:val="24"/>
                <w:szCs w:val="24"/>
                <w:highlight w:val="none"/>
                <w:lang w:eastAsia="zh-CN"/>
              </w:rPr>
              <w:t>单位</w:t>
            </w:r>
          </w:p>
        </w:tc>
        <w:tc>
          <w:tcPr>
            <w:tcW w:w="706"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bCs/>
                <w:kern w:val="0"/>
                <w:sz w:val="24"/>
                <w:szCs w:val="24"/>
                <w:highlight w:val="none"/>
                <w:lang w:val="en-US" w:eastAsia="zh-CN"/>
              </w:rPr>
            </w:pPr>
            <w:r>
              <w:rPr>
                <w:rFonts w:hint="eastAsia" w:ascii="仿宋" w:hAnsi="仿宋" w:eastAsia="仿宋" w:cs="仿宋"/>
                <w:b/>
                <w:bCs/>
                <w:kern w:val="0"/>
                <w:sz w:val="24"/>
                <w:szCs w:val="24"/>
                <w:highlight w:val="none"/>
                <w:lang w:val="en-US" w:eastAsia="zh-CN"/>
              </w:rPr>
              <w:t>最高控制单价（元）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3" w:hRule="atLeast"/>
          <w:jc w:val="center"/>
        </w:trPr>
        <w:tc>
          <w:tcPr>
            <w:tcW w:w="394"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w:t>
            </w:r>
          </w:p>
        </w:tc>
        <w:tc>
          <w:tcPr>
            <w:tcW w:w="618"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宿舍走廊及卫生间吊顶板</w:t>
            </w:r>
          </w:p>
        </w:tc>
        <w:tc>
          <w:tcPr>
            <w:tcW w:w="2381" w:type="pct"/>
            <w:noWrap w:val="0"/>
            <w:vAlign w:val="center"/>
          </w:tcPr>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1、铝制扣板</w:t>
            </w:r>
          </w:p>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①规格：铝制扣板600x600mm.(以实际尺寸为准）</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②铝扣材质：选用优质铝合金铝板，铝板厚度为≥0.7mm厚度。</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③铝板重量：每块≥500克。</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2、龙骨：采用100系列烤漆三角龙骨铁质材料，每支重量≥400克，</w:t>
            </w:r>
            <w:r>
              <w:rPr>
                <w:rFonts w:hint="eastAsia" w:ascii="仿宋" w:hAnsi="仿宋" w:eastAsia="仿宋" w:cs="仿宋"/>
                <w:color w:val="auto"/>
                <w:kern w:val="2"/>
                <w:sz w:val="24"/>
                <w:szCs w:val="24"/>
                <w:lang w:val="en-US" w:eastAsia="zh-CN" w:bidi="ar-SA"/>
              </w:rPr>
              <w:t>长度3米</w:t>
            </w:r>
            <w:r>
              <w:rPr>
                <w:rFonts w:hint="eastAsia" w:ascii="仿宋" w:hAnsi="仿宋" w:eastAsia="仿宋" w:cs="仿宋"/>
                <w:color w:val="000000"/>
                <w:kern w:val="2"/>
                <w:sz w:val="24"/>
                <w:szCs w:val="24"/>
                <w:lang w:val="en-US" w:eastAsia="zh-CN" w:bidi="ar-SA"/>
              </w:rPr>
              <w:t>。</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3、主龙骨：选用铁质加厚材质，每支重量≥500克，</w:t>
            </w:r>
            <w:r>
              <w:rPr>
                <w:rFonts w:hint="eastAsia" w:ascii="仿宋" w:hAnsi="仿宋" w:eastAsia="仿宋" w:cs="仿宋"/>
                <w:color w:val="auto"/>
                <w:kern w:val="2"/>
                <w:sz w:val="24"/>
                <w:szCs w:val="24"/>
                <w:lang w:val="en-US" w:eastAsia="zh-CN" w:bidi="ar-SA"/>
              </w:rPr>
              <w:t>长度3米</w:t>
            </w:r>
            <w:r>
              <w:rPr>
                <w:rFonts w:hint="eastAsia" w:ascii="仿宋" w:hAnsi="仿宋" w:eastAsia="仿宋" w:cs="仿宋"/>
                <w:color w:val="000000"/>
                <w:kern w:val="2"/>
                <w:sz w:val="24"/>
                <w:szCs w:val="24"/>
                <w:lang w:val="en-US" w:eastAsia="zh-CN" w:bidi="ar-SA"/>
              </w:rPr>
              <w:t>。</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4、吊杆：采用直径6mm铁质优质吊杆，长度为</w:t>
            </w:r>
            <w:r>
              <w:rPr>
                <w:rFonts w:hint="eastAsia" w:ascii="仿宋" w:hAnsi="仿宋" w:eastAsia="仿宋" w:cs="仿宋"/>
                <w:color w:val="auto"/>
                <w:kern w:val="2"/>
                <w:sz w:val="24"/>
                <w:szCs w:val="24"/>
                <w:lang w:val="en-US" w:eastAsia="zh-CN" w:bidi="ar-SA"/>
              </w:rPr>
              <w:t>2.8米</w:t>
            </w:r>
            <w:r>
              <w:rPr>
                <w:rFonts w:hint="eastAsia" w:ascii="仿宋" w:hAnsi="仿宋" w:eastAsia="仿宋" w:cs="仿宋"/>
                <w:color w:val="000000"/>
                <w:kern w:val="2"/>
                <w:sz w:val="24"/>
                <w:szCs w:val="24"/>
                <w:lang w:val="en-US" w:eastAsia="zh-CN" w:bidi="ar-SA"/>
              </w:rPr>
              <w:t xml:space="preserve">，需具有不易生锈抗腐蚀经久耐用等特点。  </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5、</w:t>
            </w:r>
            <w:bookmarkStart w:id="15" w:name="OLE_LINK1"/>
            <w:r>
              <w:rPr>
                <w:rFonts w:hint="eastAsia" w:ascii="仿宋" w:hAnsi="仿宋" w:eastAsia="仿宋" w:cs="仿宋"/>
                <w:color w:val="000000"/>
                <w:kern w:val="2"/>
                <w:sz w:val="24"/>
                <w:szCs w:val="24"/>
                <w:lang w:val="en-US" w:eastAsia="zh-CN" w:bidi="ar-SA"/>
              </w:rPr>
              <w:t>角线</w:t>
            </w:r>
            <w:bookmarkEnd w:id="15"/>
            <w:r>
              <w:rPr>
                <w:rFonts w:hint="eastAsia" w:ascii="仿宋" w:hAnsi="仿宋" w:eastAsia="仿宋" w:cs="仿宋"/>
                <w:color w:val="000000"/>
                <w:kern w:val="2"/>
                <w:sz w:val="24"/>
                <w:szCs w:val="24"/>
                <w:lang w:val="en-US" w:eastAsia="zh-CN" w:bidi="ar-SA"/>
              </w:rPr>
              <w:t>：选用珠光白≥0.4mm厚度的优质铝材，可以起到整体效果协调一致的优点。</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（以上材料供应商需携带样品）</w:t>
            </w:r>
          </w:p>
        </w:tc>
        <w:tc>
          <w:tcPr>
            <w:tcW w:w="454"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2110</w:t>
            </w:r>
          </w:p>
        </w:tc>
        <w:tc>
          <w:tcPr>
            <w:tcW w:w="444"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w:t>
            </w:r>
          </w:p>
        </w:tc>
        <w:tc>
          <w:tcPr>
            <w:tcW w:w="706"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4"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2</w:t>
            </w:r>
          </w:p>
        </w:tc>
        <w:tc>
          <w:tcPr>
            <w:tcW w:w="618"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LED照明灯具</w:t>
            </w:r>
          </w:p>
        </w:tc>
        <w:tc>
          <w:tcPr>
            <w:tcW w:w="2381" w:type="pct"/>
            <w:noWrap w:val="0"/>
            <w:vAlign w:val="center"/>
          </w:tcPr>
          <w:p>
            <w:pPr>
              <w:pStyle w:val="45"/>
              <w:keepNext w:val="0"/>
              <w:keepLines w:val="0"/>
              <w:pageBreakBefore w:val="0"/>
              <w:kinsoku/>
              <w:wordWrap/>
              <w:overflowPunct/>
              <w:topLinePunct w:val="0"/>
              <w:autoSpaceDE/>
              <w:autoSpaceDN/>
              <w:bidi w:val="0"/>
              <w:spacing w:after="0" w:line="240" w:lineRule="auto"/>
              <w:ind w:left="0" w:leftChars="0" w:firstLine="0" w:firstLineChars="0"/>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1、规格：600*600mm</w:t>
            </w:r>
          </w:p>
          <w:p>
            <w:pPr>
              <w:pStyle w:val="45"/>
              <w:keepNext w:val="0"/>
              <w:keepLines w:val="0"/>
              <w:pageBreakBefore w:val="0"/>
              <w:numPr>
                <w:ilvl w:val="0"/>
                <w:numId w:val="0"/>
              </w:numPr>
              <w:kinsoku/>
              <w:wordWrap/>
              <w:overflowPunct/>
              <w:topLinePunct w:val="0"/>
              <w:autoSpaceDE/>
              <w:autoSpaceDN/>
              <w:bidi w:val="0"/>
              <w:spacing w:after="0" w:line="240" w:lineRule="auto"/>
              <w:textAlignment w:val="auto"/>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2、材质：框架为铝制结构，被盖铁材质，灯罩PC材料，具有防氧化、防变黄化材质、抗静电。</w:t>
            </w:r>
          </w:p>
          <w:p>
            <w:pPr>
              <w:pStyle w:val="45"/>
              <w:keepNext w:val="0"/>
              <w:keepLines w:val="0"/>
              <w:pageBreakBefore w:val="0"/>
              <w:numPr>
                <w:ilvl w:val="0"/>
                <w:numId w:val="0"/>
              </w:numPr>
              <w:kinsoku/>
              <w:wordWrap/>
              <w:overflowPunct/>
              <w:topLinePunct w:val="0"/>
              <w:autoSpaceDE/>
              <w:autoSpaceDN/>
              <w:bidi w:val="0"/>
              <w:spacing w:after="0" w:line="240" w:lineRule="auto"/>
              <w:textAlignment w:val="auto"/>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3、功率：60W（外驱动、无频闪）。</w:t>
            </w:r>
          </w:p>
          <w:p>
            <w:pPr>
              <w:pStyle w:val="45"/>
              <w:keepNext w:val="0"/>
              <w:keepLines w:val="0"/>
              <w:pageBreakBefore w:val="0"/>
              <w:numPr>
                <w:ilvl w:val="0"/>
                <w:numId w:val="0"/>
              </w:numPr>
              <w:kinsoku/>
              <w:wordWrap/>
              <w:overflowPunct/>
              <w:topLinePunct w:val="0"/>
              <w:autoSpaceDE/>
              <w:autoSpaceDN/>
              <w:bidi w:val="0"/>
              <w:spacing w:after="0" w:line="240" w:lineRule="auto"/>
              <w:textAlignment w:val="auto"/>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4、色温：6500K</w:t>
            </w:r>
          </w:p>
          <w:p>
            <w:pPr>
              <w:pStyle w:val="45"/>
              <w:keepNext w:val="0"/>
              <w:keepLines w:val="0"/>
              <w:pageBreakBefore w:val="0"/>
              <w:numPr>
                <w:ilvl w:val="0"/>
                <w:numId w:val="0"/>
              </w:numPr>
              <w:kinsoku/>
              <w:wordWrap/>
              <w:overflowPunct/>
              <w:topLinePunct w:val="0"/>
              <w:autoSpaceDE/>
              <w:autoSpaceDN/>
              <w:bidi w:val="0"/>
              <w:spacing w:after="0" w:line="240" w:lineRule="auto"/>
              <w:textAlignment w:val="auto"/>
              <w:rPr>
                <w:rFonts w:hint="default" w:ascii="仿宋" w:hAnsi="仿宋" w:eastAsia="仿宋" w:cs="仿宋"/>
                <w:b/>
                <w:bCs/>
                <w:color w:val="000000"/>
                <w:kern w:val="2"/>
                <w:sz w:val="24"/>
                <w:szCs w:val="24"/>
                <w:lang w:val="en-US" w:eastAsia="zh-CN" w:bidi="ar-SA"/>
              </w:rPr>
            </w:pPr>
            <w:r>
              <w:rPr>
                <w:rFonts w:hint="eastAsia" w:ascii="仿宋" w:hAnsi="仿宋" w:eastAsia="仿宋" w:cs="仿宋"/>
                <w:b/>
                <w:bCs/>
                <w:color w:val="000000"/>
                <w:kern w:val="2"/>
                <w:sz w:val="24"/>
                <w:szCs w:val="24"/>
                <w:lang w:val="en-US" w:eastAsia="zh-CN" w:bidi="ar-SA"/>
              </w:rPr>
              <w:t>灯具质保期为两年，供应商需携带灯具样品。</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b w:val="0"/>
                <w:bCs w:val="0"/>
                <w:color w:val="000000"/>
                <w:kern w:val="2"/>
                <w:sz w:val="24"/>
                <w:szCs w:val="24"/>
                <w:lang w:val="en-US" w:eastAsia="zh-CN" w:bidi="ar-SA"/>
              </w:rPr>
              <w:t>（电线及开关利旧使用）</w:t>
            </w:r>
          </w:p>
        </w:tc>
        <w:tc>
          <w:tcPr>
            <w:tcW w:w="454"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100</w:t>
            </w:r>
          </w:p>
        </w:tc>
        <w:tc>
          <w:tcPr>
            <w:tcW w:w="444"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个</w:t>
            </w:r>
          </w:p>
        </w:tc>
        <w:tc>
          <w:tcPr>
            <w:tcW w:w="706" w:type="pct"/>
            <w:noWrap/>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70</w:t>
            </w:r>
          </w:p>
        </w:tc>
      </w:tr>
    </w:tbl>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bCs/>
          <w:color w:val="auto"/>
          <w:kern w:val="0"/>
          <w:sz w:val="24"/>
          <w:szCs w:val="22"/>
          <w:lang w:val="en-US" w:eastAsia="zh-CN"/>
        </w:rPr>
      </w:pPr>
      <w:r>
        <w:rPr>
          <w:rFonts w:hint="eastAsia" w:ascii="仿宋" w:hAnsi="仿宋" w:eastAsia="仿宋" w:cs="仿宋"/>
          <w:b/>
          <w:bCs/>
          <w:color w:val="auto"/>
          <w:kern w:val="0"/>
          <w:sz w:val="24"/>
          <w:szCs w:val="22"/>
          <w:lang w:val="en-US" w:eastAsia="zh-CN"/>
        </w:rPr>
        <w:t>（二）吊顶板外观及性能要求：</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val="0"/>
          <w:bCs w:val="0"/>
          <w:color w:val="auto"/>
          <w:kern w:val="0"/>
          <w:sz w:val="24"/>
          <w:szCs w:val="22"/>
          <w:lang w:val="en-US" w:eastAsia="zh-CN"/>
        </w:rPr>
      </w:pPr>
      <w:r>
        <w:rPr>
          <w:rFonts w:hint="eastAsia" w:ascii="仿宋" w:hAnsi="仿宋" w:eastAsia="仿宋" w:cs="仿宋"/>
          <w:b w:val="0"/>
          <w:bCs w:val="0"/>
          <w:color w:val="auto"/>
          <w:kern w:val="0"/>
          <w:sz w:val="24"/>
          <w:szCs w:val="22"/>
          <w:lang w:val="en-US" w:eastAsia="zh-CN"/>
        </w:rPr>
        <w:t>1、板材边部应切齐，无毛刺、裂边、外观整洁、图案清晰、装饰表面不得有明显压痕。</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val="0"/>
          <w:bCs w:val="0"/>
          <w:color w:val="auto"/>
          <w:kern w:val="0"/>
          <w:sz w:val="24"/>
          <w:szCs w:val="22"/>
          <w:lang w:val="en-US" w:eastAsia="zh-CN"/>
        </w:rPr>
      </w:pPr>
      <w:r>
        <w:rPr>
          <w:rFonts w:hint="eastAsia" w:ascii="仿宋" w:hAnsi="仿宋" w:eastAsia="仿宋" w:cs="仿宋"/>
          <w:b w:val="0"/>
          <w:bCs w:val="0"/>
          <w:color w:val="auto"/>
          <w:kern w:val="0"/>
          <w:sz w:val="24"/>
          <w:szCs w:val="22"/>
          <w:lang w:val="en-US" w:eastAsia="zh-CN"/>
        </w:rPr>
        <w:t>2、供应商需提供产品具备耐酸性、耐碱性、耐油性、耐沸水性等检测证明材料。</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val="0"/>
          <w:bCs w:val="0"/>
          <w:color w:val="auto"/>
          <w:kern w:val="0"/>
          <w:sz w:val="24"/>
          <w:szCs w:val="22"/>
          <w:lang w:val="en-US" w:eastAsia="zh-CN"/>
        </w:rPr>
      </w:pPr>
      <w:r>
        <w:rPr>
          <w:rFonts w:hint="eastAsia" w:ascii="仿宋" w:hAnsi="仿宋" w:eastAsia="仿宋" w:cs="仿宋"/>
          <w:b w:val="0"/>
          <w:bCs w:val="0"/>
          <w:color w:val="auto"/>
          <w:kern w:val="0"/>
          <w:sz w:val="24"/>
          <w:szCs w:val="22"/>
          <w:lang w:val="en-US" w:eastAsia="zh-CN"/>
        </w:rPr>
        <w:t>3、供应商需提供符合GB/T23444-2009《金属及金属复合材质吊顶板》要求检测证明材料。</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bCs/>
          <w:color w:val="auto"/>
          <w:kern w:val="0"/>
          <w:sz w:val="24"/>
          <w:szCs w:val="22"/>
          <w:lang w:val="en-US" w:eastAsia="zh-CN"/>
        </w:rPr>
      </w:pPr>
      <w:r>
        <w:rPr>
          <w:rFonts w:hint="eastAsia" w:ascii="仿宋" w:hAnsi="仿宋" w:eastAsia="仿宋" w:cs="仿宋"/>
          <w:b/>
          <w:bCs/>
          <w:color w:val="auto"/>
          <w:kern w:val="0"/>
          <w:sz w:val="24"/>
          <w:szCs w:val="22"/>
          <w:lang w:val="en-US" w:eastAsia="zh-CN"/>
        </w:rPr>
        <w:t>（三）安装要求：</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val="0"/>
          <w:bCs w:val="0"/>
          <w:color w:val="auto"/>
          <w:kern w:val="0"/>
          <w:sz w:val="24"/>
          <w:szCs w:val="22"/>
          <w:lang w:val="en-US" w:eastAsia="zh-CN"/>
        </w:rPr>
      </w:pPr>
      <w:r>
        <w:rPr>
          <w:rFonts w:hint="eastAsia" w:ascii="仿宋" w:hAnsi="仿宋" w:eastAsia="仿宋" w:cs="仿宋"/>
          <w:b w:val="0"/>
          <w:bCs w:val="0"/>
          <w:color w:val="auto"/>
          <w:kern w:val="0"/>
          <w:sz w:val="24"/>
          <w:szCs w:val="22"/>
          <w:lang w:val="en-US" w:eastAsia="zh-CN"/>
        </w:rPr>
        <w:t>1、成交供应商负责对原有的走廊吊顶板及宿舍卫生间吊顶板及灯具进行拆除处理、对所产生的垃圾进行清运。</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val="0"/>
          <w:bCs w:val="0"/>
          <w:color w:val="auto"/>
          <w:kern w:val="0"/>
          <w:sz w:val="24"/>
          <w:szCs w:val="22"/>
          <w:lang w:val="en-US" w:eastAsia="zh-CN"/>
        </w:rPr>
      </w:pPr>
      <w:r>
        <w:rPr>
          <w:rFonts w:hint="eastAsia" w:ascii="仿宋" w:hAnsi="仿宋" w:eastAsia="仿宋" w:cs="仿宋"/>
          <w:b w:val="0"/>
          <w:bCs w:val="0"/>
          <w:color w:val="auto"/>
          <w:kern w:val="0"/>
          <w:sz w:val="24"/>
          <w:szCs w:val="22"/>
          <w:lang w:val="en-US" w:eastAsia="zh-CN"/>
        </w:rPr>
        <w:t>2、成交供应商对新的吊顶板边角接缝处需进行封边处理及更换新的金属龙骨边架。</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bCs/>
          <w:color w:val="auto"/>
          <w:kern w:val="0"/>
          <w:sz w:val="24"/>
          <w:szCs w:val="22"/>
          <w:lang w:eastAsia="zh-CN"/>
        </w:rPr>
      </w:pPr>
      <w:r>
        <w:rPr>
          <w:rFonts w:hint="eastAsia" w:ascii="仿宋" w:hAnsi="仿宋" w:eastAsia="仿宋" w:cs="仿宋"/>
          <w:b/>
          <w:bCs/>
          <w:color w:val="auto"/>
          <w:kern w:val="0"/>
          <w:sz w:val="24"/>
          <w:szCs w:val="22"/>
          <w:lang w:eastAsia="zh-CN"/>
        </w:rPr>
        <w:t>（四）样品要求</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val="0"/>
          <w:bCs w:val="0"/>
          <w:color w:val="auto"/>
          <w:kern w:val="0"/>
          <w:sz w:val="24"/>
          <w:szCs w:val="22"/>
          <w:lang w:val="en-US" w:eastAsia="zh-CN"/>
        </w:rPr>
      </w:pPr>
      <w:r>
        <w:rPr>
          <w:rFonts w:hint="eastAsia" w:ascii="仿宋" w:hAnsi="仿宋" w:eastAsia="仿宋" w:cs="仿宋"/>
          <w:b w:val="0"/>
          <w:bCs w:val="0"/>
          <w:color w:val="auto"/>
          <w:kern w:val="0"/>
          <w:sz w:val="24"/>
          <w:szCs w:val="22"/>
          <w:lang w:val="en-US" w:eastAsia="zh-CN"/>
        </w:rPr>
        <w:t>1、需提供样品的数量及要求</w:t>
      </w:r>
    </w:p>
    <w:tbl>
      <w:tblPr>
        <w:tblStyle w:val="21"/>
        <w:tblW w:w="90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941"/>
        <w:gridCol w:w="788"/>
        <w:gridCol w:w="4387"/>
        <w:gridCol w:w="2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50" w:type="dxa"/>
            <w:noWrap w:val="0"/>
            <w:vAlign w:val="center"/>
          </w:tcPr>
          <w:p>
            <w:pPr>
              <w:pStyle w:val="9"/>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序号</w:t>
            </w:r>
          </w:p>
        </w:tc>
        <w:tc>
          <w:tcPr>
            <w:tcW w:w="941" w:type="dxa"/>
            <w:noWrap w:val="0"/>
            <w:vAlign w:val="center"/>
          </w:tcPr>
          <w:p>
            <w:pPr>
              <w:pStyle w:val="9"/>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品名</w:t>
            </w:r>
          </w:p>
        </w:tc>
        <w:tc>
          <w:tcPr>
            <w:tcW w:w="788" w:type="dxa"/>
            <w:noWrap w:val="0"/>
            <w:vAlign w:val="center"/>
          </w:tcPr>
          <w:p>
            <w:pPr>
              <w:pStyle w:val="9"/>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样品名称</w:t>
            </w:r>
          </w:p>
        </w:tc>
        <w:tc>
          <w:tcPr>
            <w:tcW w:w="4387" w:type="dxa"/>
            <w:noWrap w:val="0"/>
            <w:vAlign w:val="center"/>
          </w:tcPr>
          <w:p>
            <w:pPr>
              <w:pStyle w:val="9"/>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规格及参数要求</w:t>
            </w:r>
          </w:p>
        </w:tc>
        <w:tc>
          <w:tcPr>
            <w:tcW w:w="2045" w:type="dxa"/>
            <w:noWrap w:val="0"/>
            <w:vAlign w:val="center"/>
          </w:tcPr>
          <w:p>
            <w:pPr>
              <w:pStyle w:val="9"/>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提供样品尺寸及数量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50" w:type="dxa"/>
            <w:vMerge w:val="restart"/>
            <w:noWrap w:val="0"/>
            <w:vAlign w:val="center"/>
          </w:tcPr>
          <w:p>
            <w:pPr>
              <w:pStyle w:val="9"/>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941" w:type="dxa"/>
            <w:vMerge w:val="restart"/>
            <w:noWrap w:val="0"/>
            <w:vAlign w:val="center"/>
          </w:tcPr>
          <w:p>
            <w:pPr>
              <w:pStyle w:val="9"/>
              <w:spacing w:line="240" w:lineRule="auto"/>
              <w:jc w:val="center"/>
              <w:rPr>
                <w:rFonts w:hint="eastAsia" w:ascii="仿宋" w:hAnsi="仿宋" w:eastAsia="仿宋" w:cs="仿宋"/>
                <w:sz w:val="24"/>
                <w:szCs w:val="24"/>
                <w:lang w:val="en-US" w:eastAsia="zh-CN"/>
              </w:rPr>
            </w:pPr>
            <w:r>
              <w:rPr>
                <w:rFonts w:hint="eastAsia" w:ascii="仿宋" w:hAnsi="仿宋" w:eastAsia="仿宋" w:cs="仿宋"/>
                <w:kern w:val="0"/>
                <w:sz w:val="24"/>
                <w:szCs w:val="24"/>
                <w:lang w:val="en-US" w:eastAsia="zh-CN"/>
              </w:rPr>
              <w:t>宿舍走廊及卫生间吊顶板</w:t>
            </w:r>
          </w:p>
        </w:tc>
        <w:tc>
          <w:tcPr>
            <w:tcW w:w="788" w:type="dxa"/>
            <w:noWrap w:val="0"/>
            <w:vAlign w:val="center"/>
          </w:tcPr>
          <w:p>
            <w:pPr>
              <w:pStyle w:val="9"/>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铝制扣板</w:t>
            </w:r>
          </w:p>
        </w:tc>
        <w:tc>
          <w:tcPr>
            <w:tcW w:w="4387" w:type="dxa"/>
            <w:noWrap w:val="0"/>
            <w:vAlign w:val="center"/>
          </w:tcPr>
          <w:p>
            <w:pPr>
              <w:keepNext w:val="0"/>
              <w:keepLines w:val="0"/>
              <w:pageBreakBefore w:val="0"/>
              <w:numPr>
                <w:ilvl w:val="0"/>
                <w:numId w:val="0"/>
              </w:numPr>
              <w:kinsoku/>
              <w:wordWrap/>
              <w:overflowPunct/>
              <w:topLinePunct w:val="0"/>
              <w:autoSpaceDE/>
              <w:autoSpaceDN/>
              <w:bidi w:val="0"/>
              <w:spacing w:line="240" w:lineRule="auto"/>
              <w:jc w:val="lef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①规格：铝制扣板600x600mm.(以实际尺寸为准）</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②铝扣材质：选用优质铝合金铝板，铝板厚度为≥0.7mm厚度。</w:t>
            </w:r>
          </w:p>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sz w:val="24"/>
                <w:szCs w:val="24"/>
                <w:lang w:val="en-US" w:eastAsia="zh-CN"/>
              </w:rPr>
            </w:pPr>
            <w:r>
              <w:rPr>
                <w:rFonts w:hint="eastAsia" w:ascii="仿宋" w:hAnsi="仿宋" w:eastAsia="仿宋" w:cs="仿宋"/>
                <w:color w:val="000000"/>
                <w:kern w:val="2"/>
                <w:sz w:val="24"/>
                <w:szCs w:val="24"/>
                <w:lang w:val="en-US" w:eastAsia="zh-CN" w:bidi="ar-SA"/>
              </w:rPr>
              <w:t>③铝板重量：每块≥500克。</w:t>
            </w:r>
          </w:p>
        </w:tc>
        <w:tc>
          <w:tcPr>
            <w:tcW w:w="2045" w:type="dxa"/>
            <w:noWrap w:val="0"/>
            <w:vAlign w:val="center"/>
          </w:tcPr>
          <w:p>
            <w:pPr>
              <w:pStyle w:val="9"/>
              <w:spacing w:line="240" w:lineRule="auto"/>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一块：600x600mm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50" w:type="dxa"/>
            <w:vMerge w:val="continue"/>
            <w:noWrap w:val="0"/>
            <w:vAlign w:val="center"/>
          </w:tcPr>
          <w:p>
            <w:pPr>
              <w:pStyle w:val="9"/>
              <w:spacing w:line="240" w:lineRule="auto"/>
              <w:jc w:val="center"/>
              <w:rPr>
                <w:rFonts w:hint="eastAsia" w:ascii="仿宋" w:hAnsi="仿宋" w:eastAsia="仿宋" w:cs="仿宋"/>
                <w:sz w:val="24"/>
                <w:szCs w:val="24"/>
                <w:lang w:val="en-US" w:eastAsia="zh-CN"/>
              </w:rPr>
            </w:pPr>
          </w:p>
        </w:tc>
        <w:tc>
          <w:tcPr>
            <w:tcW w:w="941" w:type="dxa"/>
            <w:vMerge w:val="continue"/>
            <w:noWrap w:val="0"/>
            <w:vAlign w:val="center"/>
          </w:tcPr>
          <w:p>
            <w:pPr>
              <w:pStyle w:val="9"/>
              <w:spacing w:line="240" w:lineRule="auto"/>
              <w:jc w:val="center"/>
              <w:rPr>
                <w:rFonts w:hint="eastAsia" w:ascii="仿宋" w:hAnsi="仿宋" w:eastAsia="仿宋" w:cs="仿宋"/>
                <w:sz w:val="24"/>
                <w:szCs w:val="24"/>
                <w:lang w:val="en-US" w:eastAsia="zh-CN"/>
              </w:rPr>
            </w:pPr>
          </w:p>
        </w:tc>
        <w:tc>
          <w:tcPr>
            <w:tcW w:w="788" w:type="dxa"/>
            <w:noWrap w:val="0"/>
            <w:vAlign w:val="center"/>
          </w:tcPr>
          <w:p>
            <w:pPr>
              <w:pStyle w:val="9"/>
              <w:spacing w:line="240" w:lineRule="auto"/>
              <w:jc w:val="center"/>
              <w:rPr>
                <w:rFonts w:hint="eastAsia" w:ascii="仿宋" w:hAnsi="仿宋" w:eastAsia="仿宋" w:cs="仿宋"/>
                <w:sz w:val="24"/>
                <w:szCs w:val="24"/>
                <w:lang w:val="en-US" w:eastAsia="zh-CN"/>
              </w:rPr>
            </w:pPr>
            <w:r>
              <w:rPr>
                <w:rFonts w:hint="eastAsia" w:ascii="仿宋" w:hAnsi="仿宋" w:eastAsia="仿宋" w:cs="仿宋"/>
                <w:color w:val="000000"/>
                <w:kern w:val="2"/>
                <w:sz w:val="24"/>
                <w:szCs w:val="24"/>
                <w:lang w:val="en-US" w:eastAsia="zh-CN" w:bidi="ar-SA"/>
              </w:rPr>
              <w:t>龙骨</w:t>
            </w:r>
          </w:p>
        </w:tc>
        <w:tc>
          <w:tcPr>
            <w:tcW w:w="4387" w:type="dxa"/>
            <w:noWrap w:val="0"/>
            <w:vAlign w:val="center"/>
          </w:tcPr>
          <w:p>
            <w:pPr>
              <w:pStyle w:val="9"/>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采用100系列烤漆三角龙骨铁质材料，每支重量≥400克。</w:t>
            </w:r>
          </w:p>
        </w:tc>
        <w:tc>
          <w:tcPr>
            <w:tcW w:w="2045" w:type="dxa"/>
            <w:noWrap w:val="0"/>
            <w:vAlign w:val="center"/>
          </w:tcPr>
          <w:p>
            <w:pPr>
              <w:pStyle w:val="9"/>
              <w:spacing w:line="240" w:lineRule="auto"/>
              <w:jc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一段：3米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50" w:type="dxa"/>
            <w:vMerge w:val="continue"/>
            <w:noWrap w:val="0"/>
            <w:vAlign w:val="center"/>
          </w:tcPr>
          <w:p>
            <w:pPr>
              <w:pStyle w:val="9"/>
              <w:spacing w:line="240" w:lineRule="auto"/>
              <w:jc w:val="center"/>
              <w:rPr>
                <w:rFonts w:hint="eastAsia" w:ascii="仿宋" w:hAnsi="仿宋" w:eastAsia="仿宋" w:cs="仿宋"/>
                <w:sz w:val="24"/>
                <w:szCs w:val="24"/>
                <w:lang w:val="en-US" w:eastAsia="zh-CN"/>
              </w:rPr>
            </w:pPr>
          </w:p>
        </w:tc>
        <w:tc>
          <w:tcPr>
            <w:tcW w:w="941" w:type="dxa"/>
            <w:vMerge w:val="continue"/>
            <w:noWrap w:val="0"/>
            <w:vAlign w:val="center"/>
          </w:tcPr>
          <w:p>
            <w:pPr>
              <w:pStyle w:val="9"/>
              <w:spacing w:line="240" w:lineRule="auto"/>
              <w:jc w:val="center"/>
              <w:rPr>
                <w:rFonts w:hint="eastAsia" w:ascii="仿宋" w:hAnsi="仿宋" w:eastAsia="仿宋" w:cs="仿宋"/>
                <w:sz w:val="24"/>
                <w:szCs w:val="24"/>
                <w:lang w:val="en-US" w:eastAsia="zh-CN"/>
              </w:rPr>
            </w:pPr>
          </w:p>
        </w:tc>
        <w:tc>
          <w:tcPr>
            <w:tcW w:w="788" w:type="dxa"/>
            <w:noWrap w:val="0"/>
            <w:vAlign w:val="center"/>
          </w:tcPr>
          <w:p>
            <w:pPr>
              <w:pStyle w:val="9"/>
              <w:spacing w:line="240" w:lineRule="auto"/>
              <w:jc w:val="center"/>
              <w:rPr>
                <w:rFonts w:hint="eastAsia" w:ascii="仿宋" w:hAnsi="仿宋" w:eastAsia="仿宋" w:cs="仿宋"/>
                <w:sz w:val="24"/>
                <w:szCs w:val="24"/>
                <w:lang w:val="en-US" w:eastAsia="zh-CN"/>
              </w:rPr>
            </w:pPr>
            <w:r>
              <w:rPr>
                <w:rFonts w:hint="eastAsia" w:ascii="仿宋" w:hAnsi="仿宋" w:eastAsia="仿宋" w:cs="仿宋"/>
                <w:color w:val="000000"/>
                <w:kern w:val="2"/>
                <w:sz w:val="24"/>
                <w:szCs w:val="24"/>
                <w:lang w:val="en-US" w:eastAsia="zh-CN" w:bidi="ar-SA"/>
              </w:rPr>
              <w:t>主龙骨</w:t>
            </w:r>
          </w:p>
        </w:tc>
        <w:tc>
          <w:tcPr>
            <w:tcW w:w="4387" w:type="dxa"/>
            <w:noWrap w:val="0"/>
            <w:vAlign w:val="center"/>
          </w:tcPr>
          <w:p>
            <w:pPr>
              <w:pStyle w:val="9"/>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选用铁质加厚材质，每支重量≥500克。</w:t>
            </w:r>
          </w:p>
        </w:tc>
        <w:tc>
          <w:tcPr>
            <w:tcW w:w="2045" w:type="dxa"/>
            <w:noWrap w:val="0"/>
            <w:vAlign w:val="center"/>
          </w:tcPr>
          <w:p>
            <w:pPr>
              <w:pStyle w:val="9"/>
              <w:spacing w:line="240" w:lineRule="auto"/>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一段：3米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50" w:type="dxa"/>
            <w:vMerge w:val="continue"/>
            <w:noWrap w:val="0"/>
            <w:vAlign w:val="center"/>
          </w:tcPr>
          <w:p>
            <w:pPr>
              <w:pStyle w:val="9"/>
              <w:spacing w:line="240" w:lineRule="auto"/>
              <w:jc w:val="center"/>
              <w:rPr>
                <w:rFonts w:hint="eastAsia" w:ascii="仿宋" w:hAnsi="仿宋" w:eastAsia="仿宋" w:cs="仿宋"/>
                <w:sz w:val="24"/>
                <w:szCs w:val="24"/>
                <w:lang w:val="en-US" w:eastAsia="zh-CN"/>
              </w:rPr>
            </w:pPr>
          </w:p>
        </w:tc>
        <w:tc>
          <w:tcPr>
            <w:tcW w:w="941" w:type="dxa"/>
            <w:vMerge w:val="continue"/>
            <w:noWrap w:val="0"/>
            <w:vAlign w:val="center"/>
          </w:tcPr>
          <w:p>
            <w:pPr>
              <w:pStyle w:val="9"/>
              <w:spacing w:line="240" w:lineRule="auto"/>
              <w:jc w:val="center"/>
              <w:rPr>
                <w:rFonts w:hint="eastAsia" w:ascii="仿宋" w:hAnsi="仿宋" w:eastAsia="仿宋" w:cs="仿宋"/>
                <w:sz w:val="24"/>
                <w:szCs w:val="24"/>
                <w:lang w:val="en-US" w:eastAsia="zh-CN"/>
              </w:rPr>
            </w:pPr>
          </w:p>
        </w:tc>
        <w:tc>
          <w:tcPr>
            <w:tcW w:w="788" w:type="dxa"/>
            <w:noWrap w:val="0"/>
            <w:vAlign w:val="center"/>
          </w:tcPr>
          <w:p>
            <w:pPr>
              <w:pStyle w:val="9"/>
              <w:spacing w:line="240" w:lineRule="auto"/>
              <w:jc w:val="center"/>
              <w:rPr>
                <w:rFonts w:hint="eastAsia" w:ascii="仿宋" w:hAnsi="仿宋" w:eastAsia="仿宋" w:cs="仿宋"/>
                <w:sz w:val="24"/>
                <w:szCs w:val="24"/>
                <w:lang w:val="en-US" w:eastAsia="zh-CN"/>
              </w:rPr>
            </w:pPr>
            <w:r>
              <w:rPr>
                <w:rFonts w:hint="eastAsia" w:ascii="仿宋" w:hAnsi="仿宋" w:eastAsia="仿宋" w:cs="仿宋"/>
                <w:color w:val="000000"/>
                <w:kern w:val="2"/>
                <w:sz w:val="24"/>
                <w:szCs w:val="24"/>
                <w:lang w:val="en-US" w:eastAsia="zh-CN" w:bidi="ar-SA"/>
              </w:rPr>
              <w:t>吊杆</w:t>
            </w:r>
          </w:p>
        </w:tc>
        <w:tc>
          <w:tcPr>
            <w:tcW w:w="4387" w:type="dxa"/>
            <w:noWrap w:val="0"/>
            <w:vAlign w:val="center"/>
          </w:tcPr>
          <w:p>
            <w:pPr>
              <w:pStyle w:val="9"/>
              <w:spacing w:line="240" w:lineRule="auto"/>
              <w:jc w:val="left"/>
              <w:rPr>
                <w:rFonts w:hint="eastAsia" w:ascii="仿宋" w:hAnsi="仿宋" w:eastAsia="仿宋" w:cs="仿宋"/>
                <w:sz w:val="24"/>
                <w:szCs w:val="24"/>
                <w:lang w:val="en-US" w:eastAsia="zh-CN"/>
              </w:rPr>
            </w:pPr>
            <w:r>
              <w:rPr>
                <w:rFonts w:hint="eastAsia" w:ascii="仿宋" w:hAnsi="仿宋" w:eastAsia="仿宋" w:cs="仿宋"/>
                <w:color w:val="000000"/>
                <w:kern w:val="2"/>
                <w:sz w:val="24"/>
                <w:szCs w:val="24"/>
                <w:lang w:val="en-US" w:eastAsia="zh-CN" w:bidi="ar-SA"/>
              </w:rPr>
              <w:t>采用直径6mm铁质优质吊杆，需具有不易生锈抗腐蚀经久耐用等特点。</w:t>
            </w:r>
          </w:p>
        </w:tc>
        <w:tc>
          <w:tcPr>
            <w:tcW w:w="2045" w:type="dxa"/>
            <w:noWrap w:val="0"/>
            <w:vAlign w:val="center"/>
          </w:tcPr>
          <w:p>
            <w:pPr>
              <w:pStyle w:val="9"/>
              <w:spacing w:line="240" w:lineRule="auto"/>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一段：2.8米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50" w:type="dxa"/>
            <w:vMerge w:val="continue"/>
            <w:noWrap w:val="0"/>
            <w:vAlign w:val="center"/>
          </w:tcPr>
          <w:p>
            <w:pPr>
              <w:pStyle w:val="9"/>
              <w:spacing w:line="240" w:lineRule="auto"/>
              <w:jc w:val="center"/>
              <w:rPr>
                <w:rFonts w:hint="default" w:ascii="仿宋" w:hAnsi="仿宋" w:eastAsia="仿宋" w:cs="仿宋"/>
                <w:sz w:val="24"/>
                <w:szCs w:val="24"/>
                <w:lang w:val="en-US" w:eastAsia="zh-CN"/>
              </w:rPr>
            </w:pPr>
          </w:p>
        </w:tc>
        <w:tc>
          <w:tcPr>
            <w:tcW w:w="941" w:type="dxa"/>
            <w:vMerge w:val="continue"/>
            <w:noWrap w:val="0"/>
            <w:vAlign w:val="center"/>
          </w:tcPr>
          <w:p>
            <w:pPr>
              <w:pStyle w:val="9"/>
              <w:spacing w:line="240" w:lineRule="auto"/>
              <w:jc w:val="center"/>
              <w:rPr>
                <w:rFonts w:hint="eastAsia" w:ascii="仿宋" w:hAnsi="仿宋" w:eastAsia="仿宋" w:cs="仿宋"/>
                <w:color w:val="000000"/>
                <w:kern w:val="2"/>
                <w:sz w:val="24"/>
                <w:szCs w:val="24"/>
                <w:lang w:val="en-US" w:eastAsia="zh-CN" w:bidi="ar-SA"/>
              </w:rPr>
            </w:pPr>
          </w:p>
        </w:tc>
        <w:tc>
          <w:tcPr>
            <w:tcW w:w="788" w:type="dxa"/>
            <w:noWrap w:val="0"/>
            <w:vAlign w:val="center"/>
          </w:tcPr>
          <w:p>
            <w:pPr>
              <w:pStyle w:val="9"/>
              <w:spacing w:line="240" w:lineRule="auto"/>
              <w:jc w:val="center"/>
              <w:rPr>
                <w:rFonts w:hint="eastAsia" w:ascii="仿宋" w:hAnsi="仿宋" w:eastAsia="仿宋" w:cs="仿宋"/>
                <w:sz w:val="24"/>
                <w:szCs w:val="24"/>
                <w:lang w:val="en-US" w:eastAsia="zh-CN"/>
              </w:rPr>
            </w:pPr>
            <w:r>
              <w:rPr>
                <w:rFonts w:hint="eastAsia" w:ascii="仿宋" w:hAnsi="仿宋" w:eastAsia="仿宋" w:cs="仿宋"/>
                <w:color w:val="000000"/>
                <w:kern w:val="2"/>
                <w:sz w:val="24"/>
                <w:szCs w:val="24"/>
                <w:lang w:val="en-US" w:eastAsia="zh-CN" w:bidi="ar-SA"/>
              </w:rPr>
              <w:t>角线</w:t>
            </w:r>
          </w:p>
        </w:tc>
        <w:tc>
          <w:tcPr>
            <w:tcW w:w="4387" w:type="dxa"/>
            <w:noWrap w:val="0"/>
            <w:vAlign w:val="center"/>
          </w:tcPr>
          <w:p>
            <w:pPr>
              <w:pStyle w:val="9"/>
              <w:spacing w:line="24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选用珠光白≥0.4mm厚度的优质铝材，可以起到整体效果协调一致的优点。</w:t>
            </w:r>
          </w:p>
        </w:tc>
        <w:tc>
          <w:tcPr>
            <w:tcW w:w="2045" w:type="dxa"/>
            <w:noWrap w:val="0"/>
            <w:vAlign w:val="center"/>
          </w:tcPr>
          <w:p>
            <w:pPr>
              <w:pStyle w:val="9"/>
              <w:spacing w:line="240" w:lineRule="auto"/>
              <w:jc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一段：10厘米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50" w:type="dxa"/>
            <w:noWrap w:val="0"/>
            <w:vAlign w:val="center"/>
          </w:tcPr>
          <w:p>
            <w:pPr>
              <w:pStyle w:val="9"/>
              <w:spacing w:line="24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941" w:type="dxa"/>
            <w:noWrap w:val="0"/>
            <w:vAlign w:val="center"/>
          </w:tcPr>
          <w:p>
            <w:pPr>
              <w:pStyle w:val="9"/>
              <w:spacing w:line="240" w:lineRule="auto"/>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kern w:val="0"/>
                <w:sz w:val="24"/>
                <w:szCs w:val="24"/>
                <w:lang w:val="en-US" w:eastAsia="zh-CN"/>
              </w:rPr>
              <w:t>LED照明灯具</w:t>
            </w:r>
          </w:p>
        </w:tc>
        <w:tc>
          <w:tcPr>
            <w:tcW w:w="788" w:type="dxa"/>
            <w:noWrap w:val="0"/>
            <w:vAlign w:val="center"/>
          </w:tcPr>
          <w:p>
            <w:pPr>
              <w:pStyle w:val="9"/>
              <w:spacing w:line="24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w:t>
            </w:r>
          </w:p>
        </w:tc>
        <w:tc>
          <w:tcPr>
            <w:tcW w:w="4387" w:type="dxa"/>
            <w:noWrap w:val="0"/>
            <w:vAlign w:val="center"/>
          </w:tcPr>
          <w:p>
            <w:pPr>
              <w:pStyle w:val="45"/>
              <w:keepNext w:val="0"/>
              <w:keepLines w:val="0"/>
              <w:pageBreakBefore w:val="0"/>
              <w:kinsoku/>
              <w:wordWrap/>
              <w:overflowPunct/>
              <w:topLinePunct w:val="0"/>
              <w:autoSpaceDE/>
              <w:autoSpaceDN/>
              <w:bidi w:val="0"/>
              <w:spacing w:after="0" w:line="240" w:lineRule="auto"/>
              <w:ind w:left="0" w:leftChars="0" w:firstLine="0" w:firstLineChars="0"/>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1、规格：600*600mm</w:t>
            </w:r>
          </w:p>
          <w:p>
            <w:pPr>
              <w:pStyle w:val="45"/>
              <w:keepNext w:val="0"/>
              <w:keepLines w:val="0"/>
              <w:pageBreakBefore w:val="0"/>
              <w:numPr>
                <w:ilvl w:val="0"/>
                <w:numId w:val="0"/>
              </w:numPr>
              <w:kinsoku/>
              <w:wordWrap/>
              <w:overflowPunct/>
              <w:topLinePunct w:val="0"/>
              <w:autoSpaceDE/>
              <w:autoSpaceDN/>
              <w:bidi w:val="0"/>
              <w:spacing w:after="0" w:line="240" w:lineRule="auto"/>
              <w:textAlignment w:val="auto"/>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2、材质：框架为铝制结构，被盖铁材质，灯罩PC材料，具有防氧化、防变黄化材质、抗静电。</w:t>
            </w:r>
          </w:p>
          <w:p>
            <w:pPr>
              <w:pStyle w:val="45"/>
              <w:keepNext w:val="0"/>
              <w:keepLines w:val="0"/>
              <w:pageBreakBefore w:val="0"/>
              <w:numPr>
                <w:ilvl w:val="0"/>
                <w:numId w:val="0"/>
              </w:numPr>
              <w:kinsoku/>
              <w:wordWrap/>
              <w:overflowPunct/>
              <w:topLinePunct w:val="0"/>
              <w:autoSpaceDE/>
              <w:autoSpaceDN/>
              <w:bidi w:val="0"/>
              <w:spacing w:after="0" w:line="240" w:lineRule="auto"/>
              <w:textAlignment w:val="auto"/>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3、功率：60W（外驱动、无频闪）。</w:t>
            </w:r>
          </w:p>
          <w:p>
            <w:pPr>
              <w:pStyle w:val="45"/>
              <w:keepNext w:val="0"/>
              <w:keepLines w:val="0"/>
              <w:pageBreakBefore w:val="0"/>
              <w:numPr>
                <w:ilvl w:val="0"/>
                <w:numId w:val="0"/>
              </w:numPr>
              <w:kinsoku/>
              <w:wordWrap/>
              <w:overflowPunct/>
              <w:topLinePunct w:val="0"/>
              <w:autoSpaceDE/>
              <w:autoSpaceDN/>
              <w:bidi w:val="0"/>
              <w:spacing w:after="0" w:line="240" w:lineRule="auto"/>
              <w:textAlignment w:val="auto"/>
              <w:rPr>
                <w:rFonts w:hint="default" w:ascii="仿宋" w:hAnsi="仿宋" w:eastAsia="仿宋" w:cs="仿宋"/>
                <w:sz w:val="24"/>
                <w:szCs w:val="24"/>
                <w:lang w:val="en-US" w:eastAsia="zh-CN"/>
              </w:rPr>
            </w:pPr>
            <w:r>
              <w:rPr>
                <w:rFonts w:hint="eastAsia" w:ascii="仿宋" w:hAnsi="仿宋" w:eastAsia="仿宋" w:cs="仿宋"/>
                <w:color w:val="000000"/>
                <w:kern w:val="2"/>
                <w:sz w:val="24"/>
                <w:szCs w:val="24"/>
                <w:lang w:val="en-US" w:eastAsia="zh-CN" w:bidi="ar-SA"/>
              </w:rPr>
              <w:t>4、色温：6500</w:t>
            </w:r>
            <w:r>
              <w:rPr>
                <w:rFonts w:hint="eastAsia" w:ascii="仿宋" w:hAnsi="仿宋" w:eastAsia="仿宋" w:cs="仿宋"/>
                <w:color w:val="auto"/>
                <w:kern w:val="2"/>
                <w:sz w:val="24"/>
                <w:szCs w:val="24"/>
                <w:lang w:val="en-US" w:eastAsia="zh-CN" w:bidi="ar-SA"/>
              </w:rPr>
              <w:t>K</w:t>
            </w:r>
          </w:p>
        </w:tc>
        <w:tc>
          <w:tcPr>
            <w:tcW w:w="2045" w:type="dxa"/>
            <w:noWrap w:val="0"/>
            <w:vAlign w:val="center"/>
          </w:tcPr>
          <w:p>
            <w:pPr>
              <w:pStyle w:val="9"/>
              <w:spacing w:line="240" w:lineRule="auto"/>
              <w:jc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1个</w:t>
            </w:r>
          </w:p>
        </w:tc>
      </w:tr>
    </w:tbl>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val="0"/>
          <w:bCs w:val="0"/>
          <w:color w:val="auto"/>
          <w:kern w:val="0"/>
          <w:sz w:val="24"/>
          <w:szCs w:val="22"/>
          <w:lang w:val="en-US" w:eastAsia="zh-CN"/>
        </w:rPr>
      </w:pPr>
      <w:r>
        <w:rPr>
          <w:rFonts w:hint="eastAsia" w:ascii="仿宋" w:hAnsi="仿宋" w:eastAsia="仿宋" w:cs="仿宋"/>
          <w:b w:val="0"/>
          <w:bCs w:val="0"/>
          <w:color w:val="auto"/>
          <w:kern w:val="0"/>
          <w:sz w:val="24"/>
          <w:szCs w:val="22"/>
          <w:lang w:val="en-US" w:eastAsia="zh-CN"/>
        </w:rPr>
        <w:t>2、投标样品上应标明项目名称、项目编号、样品名称。投标样品不能有可以识别投标人的任何标记；投标样品是响应文件的重要组成部分，若供应商未提供样品或样品未按要求封装或样品技术参数、外观造型、规格尺寸未按谈判文件要求提供,</w:t>
      </w:r>
      <w:r>
        <w:rPr>
          <w:rFonts w:hint="eastAsia" w:ascii="仿宋" w:hAnsi="仿宋" w:eastAsia="仿宋" w:cs="仿宋"/>
          <w:b/>
          <w:bCs/>
          <w:color w:val="auto"/>
          <w:kern w:val="0"/>
          <w:sz w:val="24"/>
          <w:szCs w:val="22"/>
          <w:lang w:val="en-US" w:eastAsia="zh-CN"/>
        </w:rPr>
        <w:t>经评审委员会判定为未实质性响应招标文件的技术要求的，则不推荐为中标候选人</w:t>
      </w:r>
      <w:r>
        <w:rPr>
          <w:rFonts w:hint="eastAsia" w:ascii="仿宋" w:hAnsi="仿宋" w:eastAsia="仿宋" w:cs="仿宋"/>
          <w:b w:val="0"/>
          <w:bCs w:val="0"/>
          <w:color w:val="auto"/>
          <w:kern w:val="0"/>
          <w:sz w:val="24"/>
          <w:szCs w:val="22"/>
          <w:lang w:val="en-US" w:eastAsia="zh-CN"/>
        </w:rPr>
        <w:t>。</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val="0"/>
          <w:bCs w:val="0"/>
          <w:color w:val="auto"/>
          <w:kern w:val="0"/>
          <w:sz w:val="24"/>
          <w:szCs w:val="22"/>
          <w:lang w:val="en-US" w:eastAsia="zh-CN"/>
        </w:rPr>
      </w:pPr>
      <w:r>
        <w:rPr>
          <w:rFonts w:hint="eastAsia" w:ascii="仿宋" w:hAnsi="仿宋" w:eastAsia="仿宋" w:cs="仿宋"/>
          <w:b w:val="0"/>
          <w:bCs w:val="0"/>
          <w:color w:val="auto"/>
          <w:kern w:val="0"/>
          <w:sz w:val="24"/>
          <w:szCs w:val="22"/>
          <w:lang w:val="en-US" w:eastAsia="zh-CN"/>
        </w:rPr>
        <w:t>3、样品递交方式：供应商的样品在响应文件递交截止时间前随响应文件一并交付，逾期送达的样品不予接收。</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val="0"/>
          <w:bCs w:val="0"/>
          <w:color w:val="auto"/>
          <w:kern w:val="0"/>
          <w:sz w:val="24"/>
          <w:szCs w:val="22"/>
          <w:lang w:val="en-US" w:eastAsia="zh-CN"/>
        </w:rPr>
      </w:pPr>
      <w:r>
        <w:rPr>
          <w:rFonts w:hint="eastAsia" w:ascii="仿宋" w:hAnsi="仿宋" w:eastAsia="仿宋" w:cs="仿宋"/>
          <w:b w:val="0"/>
          <w:bCs w:val="0"/>
          <w:color w:val="auto"/>
          <w:kern w:val="0"/>
          <w:sz w:val="24"/>
          <w:szCs w:val="22"/>
          <w:lang w:val="en-US" w:eastAsia="zh-CN"/>
        </w:rPr>
        <w:t>4、供应商自行提供纸箱或遮盖物（如大尺寸的布等）对样品进行遮盖，否则样品在搬运或存放过程中导致的刮擦磨损、遗漏、少件等，其后果由供应商自行承担。</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val="0"/>
          <w:bCs w:val="0"/>
          <w:color w:val="auto"/>
          <w:kern w:val="0"/>
          <w:sz w:val="24"/>
          <w:szCs w:val="22"/>
          <w:lang w:val="en-US" w:eastAsia="zh-CN"/>
        </w:rPr>
      </w:pPr>
      <w:r>
        <w:rPr>
          <w:rFonts w:hint="eastAsia" w:ascii="仿宋" w:hAnsi="仿宋" w:eastAsia="仿宋" w:cs="仿宋"/>
          <w:b w:val="0"/>
          <w:bCs w:val="0"/>
          <w:color w:val="auto"/>
          <w:kern w:val="0"/>
          <w:sz w:val="24"/>
          <w:szCs w:val="22"/>
          <w:lang w:val="en-US" w:eastAsia="zh-CN"/>
        </w:rPr>
        <w:t>5、评审过程中谈判专家小组有权将样品进行破坏性测试，由此造成的损坏及相关费用由供应商自行承担。</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val="0"/>
          <w:bCs w:val="0"/>
          <w:color w:val="auto"/>
          <w:kern w:val="0"/>
          <w:sz w:val="24"/>
          <w:szCs w:val="22"/>
          <w:lang w:val="en-US" w:eastAsia="zh-CN"/>
        </w:rPr>
      </w:pPr>
      <w:r>
        <w:rPr>
          <w:rFonts w:hint="eastAsia" w:ascii="仿宋" w:hAnsi="仿宋" w:eastAsia="仿宋" w:cs="仿宋"/>
          <w:b w:val="0"/>
          <w:bCs w:val="0"/>
          <w:color w:val="auto"/>
          <w:kern w:val="0"/>
          <w:sz w:val="24"/>
          <w:szCs w:val="22"/>
          <w:lang w:val="en-US" w:eastAsia="zh-CN"/>
        </w:rPr>
        <w:t>6、样品将作为评审及验收的主要依据之一，成交候选人样品封存作为验收依据之一，其他供应商样品在采购活动结束后立即自行领回。</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bCs/>
          <w:color w:val="auto"/>
          <w:kern w:val="0"/>
          <w:sz w:val="24"/>
          <w:szCs w:val="22"/>
          <w:u w:val="single"/>
          <w:lang w:val="en-US" w:eastAsia="zh-CN"/>
        </w:rPr>
      </w:pPr>
      <w:r>
        <w:rPr>
          <w:rFonts w:hint="eastAsia" w:ascii="仿宋" w:hAnsi="仿宋" w:eastAsia="仿宋" w:cs="仿宋"/>
          <w:b/>
          <w:bCs/>
          <w:color w:val="auto"/>
          <w:kern w:val="0"/>
          <w:sz w:val="24"/>
          <w:szCs w:val="22"/>
          <w:u w:val="single"/>
          <w:lang w:val="en-US" w:eastAsia="zh-CN"/>
        </w:rPr>
        <w:t>备注：以上所有要求均为带★的基本要求，不允许负偏离，否则视为无效响应。</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ascii="仿宋" w:hAnsi="仿宋" w:eastAsia="仿宋" w:cs="仿宋"/>
          <w:b/>
          <w:bCs/>
          <w:color w:val="auto"/>
          <w:kern w:val="0"/>
          <w:sz w:val="24"/>
          <w:szCs w:val="22"/>
        </w:rPr>
      </w:pPr>
      <w:r>
        <w:rPr>
          <w:rFonts w:hint="eastAsia" w:ascii="仿宋" w:hAnsi="仿宋" w:eastAsia="仿宋" w:cs="仿宋"/>
          <w:b/>
          <w:bCs/>
          <w:color w:val="auto"/>
          <w:kern w:val="0"/>
          <w:sz w:val="24"/>
          <w:szCs w:val="22"/>
        </w:rPr>
        <w:t>三、商务条件</w:t>
      </w:r>
    </w:p>
    <w:p>
      <w:pPr>
        <w:keepNext w:val="0"/>
        <w:keepLines w:val="0"/>
        <w:pageBreakBefore w:val="0"/>
        <w:widowControl/>
        <w:kinsoku/>
        <w:wordWrap/>
        <w:overflowPunct/>
        <w:topLinePunct w:val="0"/>
        <w:autoSpaceDE/>
        <w:autoSpaceDN/>
        <w:bidi w:val="0"/>
        <w:adjustRightInd/>
        <w:snapToGrid/>
        <w:spacing w:line="360" w:lineRule="atLeast"/>
        <w:jc w:val="left"/>
        <w:textAlignment w:val="auto"/>
        <w:rPr>
          <w:rFonts w:hint="eastAsia" w:ascii="仿宋" w:hAnsi="仿宋" w:eastAsia="仿宋" w:cs="仿宋"/>
          <w:b/>
          <w:color w:val="auto"/>
          <w:kern w:val="0"/>
          <w:sz w:val="24"/>
          <w:lang w:eastAsia="zh-CN"/>
        </w:rPr>
      </w:pPr>
      <w:r>
        <w:rPr>
          <w:rFonts w:hint="eastAsia" w:ascii="仿宋" w:hAnsi="仿宋" w:eastAsia="仿宋" w:cs="仿宋"/>
          <w:b/>
          <w:color w:val="auto"/>
          <w:kern w:val="0"/>
          <w:sz w:val="24"/>
        </w:rPr>
        <w:t>包：1</w:t>
      </w:r>
    </w:p>
    <w:p>
      <w:pPr>
        <w:keepNext w:val="0"/>
        <w:keepLines w:val="0"/>
        <w:pageBreakBefore w:val="0"/>
        <w:widowControl/>
        <w:kinsoku/>
        <w:wordWrap/>
        <w:overflowPunct/>
        <w:topLinePunct w:val="0"/>
        <w:autoSpaceDE/>
        <w:autoSpaceDN/>
        <w:bidi w:val="0"/>
        <w:adjustRightInd/>
        <w:snapToGrid/>
        <w:spacing w:line="360" w:lineRule="atLeast"/>
        <w:jc w:val="left"/>
        <w:textAlignment w:val="auto"/>
        <w:rPr>
          <w:rFonts w:hint="eastAsia" w:ascii="仿宋" w:hAnsi="仿宋" w:eastAsia="仿宋" w:cs="仿宋"/>
          <w:b/>
          <w:bCs/>
          <w:color w:val="auto"/>
          <w:kern w:val="0"/>
          <w:sz w:val="24"/>
          <w:lang w:eastAsia="zh-CN" w:bidi="en-US"/>
        </w:rPr>
      </w:pPr>
      <w:r>
        <w:rPr>
          <w:rFonts w:ascii="仿宋" w:hAnsi="仿宋" w:eastAsia="仿宋" w:cs="仿宋"/>
          <w:b/>
          <w:bCs/>
          <w:color w:val="auto"/>
          <w:kern w:val="0"/>
          <w:sz w:val="24"/>
          <w:lang w:bidi="en-US"/>
        </w:rPr>
        <w:t>1、交付地点：</w:t>
      </w:r>
      <w:r>
        <w:rPr>
          <w:rFonts w:hint="eastAsia" w:ascii="仿宋" w:hAnsi="仿宋" w:eastAsia="仿宋" w:cs="仿宋"/>
          <w:b/>
          <w:bCs/>
          <w:color w:val="auto"/>
          <w:kern w:val="0"/>
          <w:sz w:val="24"/>
          <w:lang w:bidi="en-US"/>
        </w:rPr>
        <w:t>采购人指定地点</w:t>
      </w:r>
    </w:p>
    <w:p>
      <w:pPr>
        <w:keepNext w:val="0"/>
        <w:keepLines w:val="0"/>
        <w:pageBreakBefore w:val="0"/>
        <w:widowControl/>
        <w:kinsoku/>
        <w:wordWrap/>
        <w:overflowPunct/>
        <w:topLinePunct w:val="0"/>
        <w:autoSpaceDE/>
        <w:autoSpaceDN/>
        <w:bidi w:val="0"/>
        <w:adjustRightInd/>
        <w:snapToGrid/>
        <w:spacing w:line="360" w:lineRule="atLeast"/>
        <w:jc w:val="left"/>
        <w:textAlignment w:val="auto"/>
        <w:rPr>
          <w:rFonts w:hint="eastAsia" w:ascii="仿宋" w:hAnsi="仿宋" w:eastAsia="仿宋" w:cs="仿宋"/>
          <w:b/>
          <w:bCs/>
          <w:color w:val="auto"/>
          <w:kern w:val="0"/>
          <w:sz w:val="24"/>
          <w:lang w:eastAsia="zh-CN" w:bidi="en-US"/>
        </w:rPr>
      </w:pPr>
      <w:r>
        <w:rPr>
          <w:rFonts w:ascii="仿宋" w:hAnsi="仿宋" w:eastAsia="仿宋" w:cs="仿宋"/>
          <w:b/>
          <w:bCs/>
          <w:color w:val="auto"/>
          <w:kern w:val="0"/>
          <w:sz w:val="24"/>
          <w:lang w:bidi="en-US"/>
        </w:rPr>
        <w:t>2、交付时间：</w:t>
      </w:r>
      <w:r>
        <w:rPr>
          <w:rFonts w:hint="eastAsia" w:ascii="仿宋" w:hAnsi="仿宋" w:eastAsia="仿宋" w:cs="仿宋"/>
          <w:b/>
          <w:bCs/>
          <w:color w:val="auto"/>
          <w:kern w:val="0"/>
          <w:sz w:val="24"/>
          <w:lang w:val="en-US" w:eastAsia="zh-CN" w:bidi="en-US"/>
        </w:rPr>
        <w:t>签订合同30天内完成安装及调试</w:t>
      </w:r>
    </w:p>
    <w:p>
      <w:pPr>
        <w:keepNext w:val="0"/>
        <w:keepLines w:val="0"/>
        <w:pageBreakBefore w:val="0"/>
        <w:widowControl/>
        <w:kinsoku/>
        <w:wordWrap/>
        <w:overflowPunct/>
        <w:topLinePunct w:val="0"/>
        <w:autoSpaceDE/>
        <w:autoSpaceDN/>
        <w:bidi w:val="0"/>
        <w:adjustRightInd/>
        <w:snapToGrid/>
        <w:spacing w:line="360" w:lineRule="atLeast"/>
        <w:jc w:val="left"/>
        <w:textAlignment w:val="auto"/>
        <w:rPr>
          <w:rFonts w:hint="eastAsia" w:ascii="仿宋" w:hAnsi="仿宋" w:eastAsia="仿宋" w:cs="仿宋"/>
          <w:b/>
          <w:color w:val="auto"/>
          <w:kern w:val="0"/>
          <w:sz w:val="24"/>
          <w:lang w:eastAsia="zh-CN"/>
        </w:rPr>
      </w:pPr>
      <w:r>
        <w:rPr>
          <w:rFonts w:ascii="仿宋" w:hAnsi="仿宋" w:eastAsia="仿宋" w:cs="仿宋"/>
          <w:b/>
          <w:bCs/>
          <w:color w:val="auto"/>
          <w:kern w:val="0"/>
          <w:sz w:val="24"/>
          <w:lang w:bidi="en-US"/>
        </w:rPr>
        <w:t>3、交付条件：验收合格</w:t>
      </w:r>
    </w:p>
    <w:p>
      <w:pPr>
        <w:keepNext w:val="0"/>
        <w:keepLines w:val="0"/>
        <w:pageBreakBefore w:val="0"/>
        <w:widowControl/>
        <w:kinsoku/>
        <w:wordWrap/>
        <w:overflowPunct/>
        <w:topLinePunct w:val="0"/>
        <w:autoSpaceDE/>
        <w:autoSpaceDN/>
        <w:bidi w:val="0"/>
        <w:adjustRightInd/>
        <w:snapToGrid/>
        <w:spacing w:line="360" w:lineRule="atLeast"/>
        <w:jc w:val="left"/>
        <w:textAlignment w:val="auto"/>
        <w:rPr>
          <w:rFonts w:hint="eastAsia" w:ascii="仿宋" w:hAnsi="仿宋" w:eastAsia="仿宋" w:cs="仿宋"/>
          <w:b/>
          <w:color w:val="auto"/>
          <w:kern w:val="0"/>
          <w:sz w:val="24"/>
          <w:lang w:eastAsia="zh-CN"/>
        </w:rPr>
      </w:pPr>
      <w:r>
        <w:rPr>
          <w:rFonts w:hint="eastAsia" w:ascii="仿宋" w:hAnsi="仿宋" w:eastAsia="仿宋" w:cs="仿宋"/>
          <w:b/>
          <w:color w:val="auto"/>
          <w:kern w:val="0"/>
          <w:sz w:val="24"/>
        </w:rPr>
        <w:t>4</w:t>
      </w:r>
      <w:r>
        <w:rPr>
          <w:rFonts w:hint="eastAsia" w:ascii="仿宋" w:hAnsi="仿宋" w:eastAsia="仿宋" w:cs="仿宋"/>
          <w:b/>
          <w:color w:val="auto"/>
          <w:kern w:val="0"/>
          <w:sz w:val="24"/>
          <w:lang w:eastAsia="zh-CN"/>
        </w:rPr>
        <w:t>、</w:t>
      </w:r>
      <w:r>
        <w:rPr>
          <w:rFonts w:hint="eastAsia" w:ascii="仿宋" w:hAnsi="仿宋" w:eastAsia="仿宋" w:cs="仿宋"/>
          <w:b/>
          <w:color w:val="auto"/>
          <w:kern w:val="0"/>
          <w:sz w:val="24"/>
        </w:rPr>
        <w:t>是否收取履约保证金：</w:t>
      </w:r>
      <w:r>
        <w:rPr>
          <w:rFonts w:hint="eastAsia" w:ascii="仿宋" w:hAnsi="仿宋" w:eastAsia="仿宋" w:cs="仿宋"/>
          <w:b/>
          <w:color w:val="auto"/>
          <w:kern w:val="0"/>
          <w:sz w:val="24"/>
          <w:lang w:eastAsia="zh-CN"/>
        </w:rPr>
        <w:t>是。说明：</w:t>
      </w:r>
      <w:r>
        <w:rPr>
          <w:rFonts w:hint="eastAsia" w:ascii="仿宋" w:hAnsi="仿宋" w:eastAsia="仿宋" w:cs="仿宋"/>
          <w:b/>
          <w:color w:val="auto"/>
          <w:kern w:val="0"/>
          <w:sz w:val="24"/>
          <w:lang w:val="en-US" w:eastAsia="zh-CN"/>
        </w:rPr>
        <w:t xml:space="preserve">成交供应商在签订合同前应向采购人缴纳合同金额2%的履约保证金，该保证金在成交供应商供应的货物全部验收合格、合同约定事项全部履行完毕且无未了事项后，30日内一次性无息退还。履约保证金以支票、汇票、本票或者金融机构、担保机构出具的保函等非现金形式向采购人缴交。 </w:t>
      </w:r>
    </w:p>
    <w:p>
      <w:pPr>
        <w:keepNext w:val="0"/>
        <w:keepLines w:val="0"/>
        <w:pageBreakBefore w:val="0"/>
        <w:widowControl/>
        <w:kinsoku/>
        <w:wordWrap/>
        <w:overflowPunct/>
        <w:topLinePunct w:val="0"/>
        <w:autoSpaceDE/>
        <w:autoSpaceDN/>
        <w:bidi w:val="0"/>
        <w:adjustRightInd/>
        <w:snapToGrid/>
        <w:spacing w:line="360" w:lineRule="atLeast"/>
        <w:jc w:val="left"/>
        <w:textAlignment w:val="auto"/>
        <w:rPr>
          <w:rFonts w:ascii="仿宋" w:hAnsi="仿宋" w:eastAsia="仿宋" w:cs="仿宋"/>
          <w:b/>
          <w:color w:val="auto"/>
          <w:kern w:val="0"/>
          <w:sz w:val="24"/>
        </w:rPr>
      </w:pPr>
      <w:r>
        <w:rPr>
          <w:rFonts w:hint="eastAsia" w:ascii="仿宋" w:hAnsi="仿宋" w:eastAsia="仿宋" w:cs="仿宋"/>
          <w:b/>
          <w:color w:val="auto"/>
          <w:kern w:val="0"/>
          <w:sz w:val="24"/>
        </w:rPr>
        <w:t>5</w:t>
      </w:r>
      <w:r>
        <w:rPr>
          <w:rFonts w:hint="eastAsia" w:ascii="仿宋" w:hAnsi="仿宋" w:eastAsia="仿宋" w:cs="仿宋"/>
          <w:b/>
          <w:color w:val="auto"/>
          <w:kern w:val="0"/>
          <w:sz w:val="24"/>
          <w:lang w:eastAsia="zh-CN"/>
        </w:rPr>
        <w:t>、</w:t>
      </w:r>
      <w:r>
        <w:rPr>
          <w:rFonts w:hint="eastAsia" w:ascii="仿宋" w:hAnsi="仿宋" w:eastAsia="仿宋" w:cs="仿宋"/>
          <w:b/>
          <w:color w:val="auto"/>
          <w:kern w:val="0"/>
          <w:sz w:val="24"/>
        </w:rPr>
        <w:t>是否邀请投标人参与验收：否</w:t>
      </w:r>
    </w:p>
    <w:p>
      <w:pPr>
        <w:keepNext w:val="0"/>
        <w:keepLines w:val="0"/>
        <w:pageBreakBefore w:val="0"/>
        <w:widowControl/>
        <w:kinsoku/>
        <w:wordWrap/>
        <w:overflowPunct/>
        <w:topLinePunct w:val="0"/>
        <w:autoSpaceDE/>
        <w:autoSpaceDN/>
        <w:bidi w:val="0"/>
        <w:adjustRightInd/>
        <w:snapToGrid/>
        <w:spacing w:line="360" w:lineRule="atLeast"/>
        <w:jc w:val="left"/>
        <w:textAlignment w:val="auto"/>
        <w:rPr>
          <w:rFonts w:ascii="仿宋" w:hAnsi="仿宋" w:eastAsia="仿宋" w:cs="仿宋"/>
          <w:b/>
          <w:color w:val="auto"/>
          <w:kern w:val="0"/>
          <w:sz w:val="24"/>
        </w:rPr>
      </w:pPr>
      <w:r>
        <w:rPr>
          <w:rFonts w:hint="eastAsia" w:ascii="仿宋" w:hAnsi="仿宋" w:eastAsia="仿宋" w:cs="仿宋"/>
          <w:b/>
          <w:color w:val="auto"/>
          <w:kern w:val="0"/>
          <w:sz w:val="24"/>
        </w:rPr>
        <w:t xml:space="preserve">6.验收方式数据表格 </w:t>
      </w:r>
    </w:p>
    <w:tbl>
      <w:tblPr>
        <w:tblStyle w:val="20"/>
        <w:tblW w:w="5000" w:type="pct"/>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005"/>
        <w:gridCol w:w="757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586"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仿宋" w:hAnsi="仿宋" w:eastAsia="仿宋"/>
              </w:rPr>
            </w:pPr>
            <w:r>
              <w:rPr>
                <w:rFonts w:ascii="仿宋" w:hAnsi="仿宋" w:eastAsia="仿宋" w:cs="宋体"/>
                <w:kern w:val="0"/>
                <w:sz w:val="24"/>
                <w:lang w:bidi="ar"/>
              </w:rPr>
              <w:t>验收期次</w:t>
            </w:r>
          </w:p>
        </w:tc>
        <w:tc>
          <w:tcPr>
            <w:tcW w:w="4413"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仿宋" w:hAnsi="仿宋" w:eastAsia="仿宋"/>
              </w:rPr>
            </w:pPr>
            <w:r>
              <w:rPr>
                <w:rFonts w:ascii="仿宋" w:hAnsi="仿宋" w:eastAsia="仿宋" w:cs="宋体"/>
                <w:kern w:val="0"/>
                <w:sz w:val="24"/>
                <w:lang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86"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仿宋" w:hAnsi="仿宋" w:eastAsia="仿宋"/>
              </w:rPr>
            </w:pPr>
            <w:r>
              <w:rPr>
                <w:rFonts w:ascii="仿宋" w:hAnsi="仿宋" w:eastAsia="仿宋" w:cs="宋体"/>
                <w:kern w:val="0"/>
                <w:sz w:val="24"/>
                <w:lang w:bidi="ar"/>
              </w:rPr>
              <w:t>1</w:t>
            </w:r>
          </w:p>
        </w:tc>
        <w:tc>
          <w:tcPr>
            <w:tcW w:w="4413" w:type="pct"/>
            <w:tcBorders>
              <w:top w:val="outset" w:color="auto" w:sz="6" w:space="0"/>
              <w:left w:val="outset" w:color="auto" w:sz="6" w:space="0"/>
              <w:bottom w:val="outset" w:color="auto" w:sz="6" w:space="0"/>
              <w:right w:val="outset" w:color="auto" w:sz="6" w:space="0"/>
            </w:tcBorders>
            <w:noWrap w:val="0"/>
            <w:vAlign w:val="center"/>
          </w:tcPr>
          <w:p>
            <w:pPr>
              <w:widowControl/>
              <w:spacing w:line="276" w:lineRule="auto"/>
              <w:rPr>
                <w:rFonts w:hint="eastAsia" w:ascii="仿宋" w:hAnsi="仿宋" w:eastAsia="仿宋" w:cs="宋体"/>
                <w:color w:val="000000"/>
                <w:kern w:val="0"/>
                <w:sz w:val="24"/>
              </w:rPr>
            </w:pPr>
            <w:r>
              <w:rPr>
                <w:rFonts w:hint="eastAsia" w:ascii="仿宋" w:hAnsi="仿宋" w:eastAsia="仿宋" w:cs="宋体"/>
                <w:color w:val="000000"/>
                <w:kern w:val="0"/>
                <w:sz w:val="24"/>
                <w:lang w:val="en-US" w:eastAsia="zh-CN"/>
              </w:rPr>
              <w:t>出厂检验：成交供应商需提供货物、安装材料、工具和文件的发货清单和计划，发货计划应经采购人认可后实施。成交供应商在设备出厂前，应按设备技术标准规定的检验项目和检验方法进行全面检验，结果必须符合验收标准的要求。成交供应商应随同货物出具供货证明、产地证书、出厂检验报告和设备质量合格证等，并负责将产品送达采购人指定交货地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86"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 w:hAnsi="仿宋" w:eastAsia="仿宋" w:cs="宋体"/>
                <w:kern w:val="0"/>
                <w:sz w:val="24"/>
                <w:lang w:val="en-US" w:eastAsia="zh-CN" w:bidi="ar"/>
              </w:rPr>
            </w:pPr>
            <w:r>
              <w:rPr>
                <w:rFonts w:hint="eastAsia" w:ascii="仿宋" w:hAnsi="仿宋" w:eastAsia="仿宋" w:cs="宋体"/>
                <w:kern w:val="0"/>
                <w:sz w:val="24"/>
                <w:lang w:val="en-US" w:eastAsia="zh-CN" w:bidi="ar"/>
              </w:rPr>
              <w:t>2</w:t>
            </w:r>
          </w:p>
        </w:tc>
        <w:tc>
          <w:tcPr>
            <w:tcW w:w="4413" w:type="pct"/>
            <w:tcBorders>
              <w:top w:val="outset" w:color="auto" w:sz="6" w:space="0"/>
              <w:left w:val="outset" w:color="auto" w:sz="6" w:space="0"/>
              <w:bottom w:val="outset" w:color="auto" w:sz="6" w:space="0"/>
              <w:right w:val="outset" w:color="auto" w:sz="6" w:space="0"/>
            </w:tcBorders>
            <w:noWrap w:val="0"/>
            <w:vAlign w:val="center"/>
          </w:tcPr>
          <w:p>
            <w:pPr>
              <w:widowControl/>
              <w:spacing w:line="276" w:lineRule="auto"/>
              <w:rPr>
                <w:rFonts w:hint="eastAsia" w:ascii="仿宋" w:hAnsi="仿宋" w:eastAsia="仿宋" w:cs="宋体"/>
                <w:color w:val="000000"/>
                <w:kern w:val="0"/>
                <w:sz w:val="24"/>
              </w:rPr>
            </w:pPr>
            <w:r>
              <w:rPr>
                <w:rFonts w:hint="eastAsia" w:ascii="仿宋" w:hAnsi="仿宋" w:eastAsia="仿宋" w:cs="宋体"/>
                <w:color w:val="000000"/>
                <w:kern w:val="0"/>
                <w:sz w:val="24"/>
                <w:lang w:val="en-US" w:eastAsia="zh-CN"/>
              </w:rPr>
              <w:t>初步验收：货物到达交货地点后30天内完成。采购人（或采购人授权单位）在设备（含软件）到货后，将按合同规定对所交货物进行清点、核对和商检，对货物基本数量与质量进行初步验收（但不作为最终合格的保证），该验收应达到合同规定的要求。初步验收不合格的，采购人有权选择退或换货处理：选择换货处理的，成交供应商需在收到换货通知日起30天内交付合格的新品，逾期未处理的，将予以退货，由此产生的费用和采购人的损失，由成交供应商承担；选择退货处理的，成交供应商需在收到退货通知之日起10天内将货物自行运回，如逾期成交供应商未退回货物，采购人有权将货物退回成交供应商法定地址，由此产生的一切费用由成交供应商承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586"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仿宋" w:hAnsi="仿宋" w:eastAsia="仿宋" w:cs="宋体"/>
                <w:kern w:val="0"/>
                <w:sz w:val="24"/>
                <w:lang w:val="en-US" w:eastAsia="zh-CN" w:bidi="ar"/>
              </w:rPr>
            </w:pPr>
            <w:r>
              <w:rPr>
                <w:rFonts w:hint="eastAsia" w:ascii="仿宋" w:hAnsi="仿宋" w:eastAsia="仿宋" w:cs="宋体"/>
                <w:kern w:val="0"/>
                <w:sz w:val="24"/>
                <w:lang w:val="en-US" w:eastAsia="zh-CN" w:bidi="ar"/>
              </w:rPr>
              <w:t>3</w:t>
            </w:r>
          </w:p>
        </w:tc>
        <w:tc>
          <w:tcPr>
            <w:tcW w:w="4413" w:type="pct"/>
            <w:tcBorders>
              <w:top w:val="outset" w:color="auto" w:sz="6" w:space="0"/>
              <w:left w:val="outset" w:color="auto" w:sz="6" w:space="0"/>
              <w:bottom w:val="outset" w:color="auto" w:sz="6" w:space="0"/>
              <w:right w:val="outset" w:color="auto" w:sz="6" w:space="0"/>
            </w:tcBorders>
            <w:noWrap w:val="0"/>
            <w:vAlign w:val="center"/>
          </w:tcPr>
          <w:p>
            <w:pPr>
              <w:widowControl/>
              <w:spacing w:line="276" w:lineRule="auto"/>
              <w:rPr>
                <w:rFonts w:hint="eastAsia" w:ascii="仿宋" w:hAnsi="仿宋" w:eastAsia="仿宋" w:cs="宋体"/>
                <w:color w:val="000000"/>
                <w:kern w:val="0"/>
                <w:sz w:val="24"/>
              </w:rPr>
            </w:pPr>
            <w:r>
              <w:rPr>
                <w:rFonts w:hint="eastAsia" w:ascii="仿宋" w:hAnsi="仿宋" w:eastAsia="仿宋" w:cs="宋体"/>
                <w:color w:val="000000"/>
                <w:kern w:val="0"/>
                <w:sz w:val="24"/>
                <w:lang w:val="en-US" w:eastAsia="zh-CN"/>
              </w:rPr>
              <w:t>最终验收：设备在安装地安装、调试与试运行无问题之后30天内完成最终验收（因成交供应商原因导致无法验收的情况除外）。项目具备验收条件后，成交供应商应向采购人提出验收请求并提供完整的项目交接资料及交接报告。采购人收到验收请求后组织验收，验收合格后，签发验收单；验收不合格，采购人有权选择通知整改或退换货处理：①选择通知整改处理的，成交供应商需在收到整改通知日起30天内完成整改，逾期未处理，将按退货处理，由此产生的费用和采购人的损失，由成交供应商承担；②选择换货处理的，成交供应商需在收到换货通知日起30天内交付合格的新品，逾期未处理，将按退货处理，由此产生的费用和采购人的损失，由成交供应商承担；③选择退货处理的，成交供应商需在收到退货通知之日起10天内将货物自行运回，如逾期成交供应商未退回货物，采购人有权将货物退回成交供应商法定地址，由此产生的一切费用由成交供应商承担。</w:t>
            </w:r>
          </w:p>
        </w:tc>
      </w:tr>
    </w:tbl>
    <w:p>
      <w:pPr>
        <w:keepNext w:val="0"/>
        <w:keepLines w:val="0"/>
        <w:pageBreakBefore w:val="0"/>
        <w:widowControl/>
        <w:kinsoku/>
        <w:wordWrap/>
        <w:overflowPunct/>
        <w:topLinePunct w:val="0"/>
        <w:autoSpaceDE/>
        <w:autoSpaceDN/>
        <w:bidi w:val="0"/>
        <w:adjustRightInd/>
        <w:snapToGrid/>
        <w:spacing w:line="360" w:lineRule="atLeast"/>
        <w:jc w:val="left"/>
        <w:textAlignment w:val="auto"/>
        <w:rPr>
          <w:rFonts w:ascii="仿宋" w:hAnsi="仿宋" w:eastAsia="仿宋" w:cs="仿宋"/>
          <w:b/>
          <w:color w:val="auto"/>
          <w:kern w:val="0"/>
          <w:sz w:val="24"/>
        </w:rPr>
      </w:pPr>
      <w:r>
        <w:rPr>
          <w:rFonts w:hint="eastAsia" w:ascii="仿宋" w:hAnsi="仿宋" w:eastAsia="仿宋" w:cs="仿宋"/>
          <w:b/>
          <w:color w:val="auto"/>
          <w:kern w:val="0"/>
          <w:sz w:val="24"/>
        </w:rPr>
        <w:t xml:space="preserve">7.支付方式数据表格 </w:t>
      </w:r>
    </w:p>
    <w:tbl>
      <w:tblPr>
        <w:tblStyle w:val="20"/>
        <w:tblW w:w="4955" w:type="pct"/>
        <w:tblCellSpacing w:w="0" w:type="dxa"/>
        <w:tblInd w:w="1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177"/>
        <w:gridCol w:w="1474"/>
        <w:gridCol w:w="58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 w:hRule="atLeast"/>
          <w:tblHeader/>
          <w:tblCellSpacing w:w="0" w:type="dxa"/>
        </w:trPr>
        <w:tc>
          <w:tcPr>
            <w:tcW w:w="69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宋体"/>
                <w:b/>
                <w:bCs/>
                <w:color w:val="auto"/>
                <w:kern w:val="0"/>
                <w:sz w:val="24"/>
              </w:rPr>
            </w:pPr>
            <w:r>
              <w:rPr>
                <w:rFonts w:hint="eastAsia" w:ascii="仿宋" w:hAnsi="仿宋" w:eastAsia="仿宋" w:cs="宋体"/>
                <w:b/>
                <w:bCs/>
                <w:color w:val="auto"/>
                <w:kern w:val="0"/>
                <w:sz w:val="24"/>
              </w:rPr>
              <w:t>支付期次</w:t>
            </w:r>
          </w:p>
        </w:tc>
        <w:tc>
          <w:tcPr>
            <w:tcW w:w="86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宋体"/>
                <w:b/>
                <w:bCs/>
                <w:color w:val="auto"/>
                <w:kern w:val="0"/>
                <w:sz w:val="24"/>
              </w:rPr>
            </w:pPr>
            <w:r>
              <w:rPr>
                <w:rFonts w:hint="eastAsia" w:ascii="仿宋" w:hAnsi="仿宋" w:eastAsia="仿宋" w:cs="宋体"/>
                <w:b/>
                <w:bCs/>
                <w:color w:val="auto"/>
                <w:kern w:val="0"/>
                <w:sz w:val="24"/>
              </w:rPr>
              <w:t>支付比例(%)</w:t>
            </w:r>
          </w:p>
        </w:tc>
        <w:tc>
          <w:tcPr>
            <w:tcW w:w="3440"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宋体"/>
                <w:b/>
                <w:bCs/>
                <w:color w:val="auto"/>
                <w:kern w:val="0"/>
                <w:sz w:val="24"/>
              </w:rPr>
            </w:pPr>
            <w:r>
              <w:rPr>
                <w:rFonts w:hint="eastAsia" w:ascii="仿宋" w:hAnsi="仿宋" w:eastAsia="仿宋" w:cs="宋体"/>
                <w:b/>
                <w:bCs/>
                <w:color w:val="auto"/>
                <w:kern w:val="0"/>
                <w:sz w:val="24"/>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3" w:hRule="atLeast"/>
          <w:tblCellSpacing w:w="0" w:type="dxa"/>
        </w:trPr>
        <w:tc>
          <w:tcPr>
            <w:tcW w:w="692"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宋体"/>
                <w:color w:val="auto"/>
                <w:kern w:val="0"/>
                <w:sz w:val="24"/>
              </w:rPr>
            </w:pPr>
            <w:r>
              <w:rPr>
                <w:rFonts w:hint="eastAsia" w:ascii="仿宋" w:hAnsi="仿宋" w:eastAsia="仿宋" w:cs="宋体"/>
                <w:color w:val="auto"/>
                <w:kern w:val="0"/>
                <w:sz w:val="24"/>
              </w:rPr>
              <w:t>1</w:t>
            </w:r>
          </w:p>
        </w:tc>
        <w:tc>
          <w:tcPr>
            <w:tcW w:w="867"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仿宋" w:hAnsi="仿宋" w:eastAsia="仿宋" w:cs="宋体"/>
                <w:color w:val="auto"/>
                <w:kern w:val="0"/>
                <w:sz w:val="24"/>
              </w:rPr>
            </w:pPr>
            <w:r>
              <w:rPr>
                <w:rFonts w:hint="eastAsia" w:ascii="仿宋" w:hAnsi="仿宋" w:eastAsia="仿宋" w:cs="宋体"/>
                <w:color w:val="auto"/>
                <w:kern w:val="0"/>
                <w:sz w:val="24"/>
              </w:rPr>
              <w:t>100</w:t>
            </w:r>
          </w:p>
        </w:tc>
        <w:tc>
          <w:tcPr>
            <w:tcW w:w="3440" w:type="pct"/>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bCs/>
                <w:color w:val="auto"/>
                <w:sz w:val="24"/>
                <w:lang w:val="en-US" w:eastAsia="zh-CN"/>
              </w:rPr>
            </w:pPr>
            <w:r>
              <w:rPr>
                <w:rFonts w:hint="eastAsia" w:ascii="仿宋" w:hAnsi="仿宋" w:eastAsia="仿宋" w:cs="仿宋"/>
                <w:bCs/>
                <w:color w:val="auto"/>
                <w:sz w:val="24"/>
                <w:lang w:val="en-US" w:eastAsia="zh-CN"/>
              </w:rPr>
              <w:t>（1）在所有货物经安装调试试运行完毕，经最终验收合格后30日内付清100%货款。</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lang w:val="en-US" w:eastAsia="zh-CN"/>
              </w:rPr>
            </w:pPr>
            <w:r>
              <w:rPr>
                <w:rFonts w:hint="eastAsia" w:ascii="仿宋" w:hAnsi="仿宋" w:eastAsia="仿宋" w:cs="仿宋"/>
                <w:bCs/>
                <w:color w:val="auto"/>
                <w:sz w:val="24"/>
                <w:lang w:val="en-US" w:eastAsia="zh-CN"/>
              </w:rPr>
              <w:t>（2）成交供应商、收款单位、购货票证开票单位三者应一致，成交供应商收款帐号应为中国人民银行批准的基本帐户。</w:t>
            </w:r>
          </w:p>
        </w:tc>
      </w:tr>
    </w:tbl>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bCs/>
          <w:color w:val="auto"/>
          <w:kern w:val="0"/>
          <w:sz w:val="24"/>
          <w:szCs w:val="22"/>
        </w:rPr>
      </w:pPr>
      <w:r>
        <w:rPr>
          <w:rFonts w:hint="eastAsia" w:ascii="仿宋" w:hAnsi="仿宋" w:eastAsia="仿宋" w:cs="仿宋"/>
          <w:b/>
          <w:bCs/>
          <w:color w:val="auto"/>
          <w:kern w:val="0"/>
          <w:sz w:val="24"/>
          <w:szCs w:val="22"/>
          <w:lang w:val="en-US" w:eastAsia="zh-CN"/>
        </w:rPr>
        <w:t>8、</w:t>
      </w:r>
      <w:r>
        <w:rPr>
          <w:rFonts w:hint="eastAsia" w:ascii="仿宋" w:hAnsi="仿宋" w:eastAsia="仿宋" w:cs="仿宋"/>
          <w:b/>
          <w:bCs/>
          <w:color w:val="auto"/>
          <w:kern w:val="0"/>
          <w:sz w:val="24"/>
          <w:szCs w:val="22"/>
          <w:lang w:eastAsia="zh-CN"/>
        </w:rPr>
        <w:t>售后服务要求</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val="0"/>
          <w:bCs w:val="0"/>
          <w:color w:val="auto"/>
          <w:kern w:val="0"/>
          <w:sz w:val="24"/>
          <w:szCs w:val="22"/>
          <w:lang w:val="en-US" w:eastAsia="zh-CN"/>
        </w:rPr>
      </w:pPr>
      <w:r>
        <w:rPr>
          <w:rFonts w:hint="eastAsia" w:ascii="仿宋" w:hAnsi="仿宋" w:eastAsia="仿宋" w:cs="仿宋"/>
          <w:b w:val="0"/>
          <w:bCs w:val="0"/>
          <w:color w:val="auto"/>
          <w:kern w:val="0"/>
          <w:sz w:val="24"/>
          <w:szCs w:val="22"/>
          <w:lang w:val="en-US" w:eastAsia="zh-CN"/>
        </w:rPr>
        <w:t>8.1成交供应商对提供的货物或服务，因产品及服务质量、或知识产权纠纷等问题，必须提供保修、包换、包退等服务。</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val="0"/>
          <w:bCs w:val="0"/>
          <w:color w:val="auto"/>
          <w:kern w:val="0"/>
          <w:sz w:val="24"/>
          <w:szCs w:val="22"/>
          <w:lang w:val="en-US" w:eastAsia="zh-CN"/>
        </w:rPr>
      </w:pPr>
      <w:r>
        <w:rPr>
          <w:rFonts w:hint="eastAsia" w:ascii="仿宋" w:hAnsi="仿宋" w:eastAsia="仿宋" w:cs="仿宋"/>
          <w:b w:val="0"/>
          <w:bCs w:val="0"/>
          <w:color w:val="auto"/>
          <w:kern w:val="0"/>
          <w:sz w:val="24"/>
          <w:szCs w:val="22"/>
          <w:lang w:val="en-US" w:eastAsia="zh-CN"/>
        </w:rPr>
        <w:t>8.2货物安装调试合格后，成交供应商负责对采购人技术人员进行免费现场培训，培训内容包括系统的功能、原理、使用与维护等，培训日程视实际情况另定。</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val="0"/>
          <w:bCs w:val="0"/>
          <w:color w:val="auto"/>
          <w:kern w:val="0"/>
          <w:sz w:val="24"/>
          <w:szCs w:val="22"/>
          <w:lang w:val="en-US" w:eastAsia="zh-CN"/>
        </w:rPr>
      </w:pPr>
      <w:r>
        <w:rPr>
          <w:rFonts w:hint="eastAsia" w:ascii="仿宋" w:hAnsi="仿宋" w:eastAsia="仿宋" w:cs="仿宋"/>
          <w:b w:val="0"/>
          <w:bCs w:val="0"/>
          <w:color w:val="auto"/>
          <w:kern w:val="0"/>
          <w:sz w:val="24"/>
          <w:szCs w:val="22"/>
          <w:lang w:val="en-US" w:eastAsia="zh-CN"/>
        </w:rPr>
        <w:t>8.3质保期：成交供应商所供货物质保期自最终验收合格之日起开始计算，成交供应商需保证免费质保期为 24个月。成交供应商在接到用户设备故障电话通知起，由于故障而无法工作超过3天，质保期自动延长相应天数（延长天数从故障电话通知之日开始计算）。</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val="0"/>
          <w:bCs w:val="0"/>
          <w:color w:val="auto"/>
          <w:kern w:val="0"/>
          <w:sz w:val="24"/>
          <w:szCs w:val="22"/>
          <w:lang w:val="en-US" w:eastAsia="zh-CN"/>
        </w:rPr>
      </w:pPr>
      <w:r>
        <w:rPr>
          <w:rFonts w:hint="eastAsia" w:ascii="仿宋" w:hAnsi="仿宋" w:eastAsia="仿宋" w:cs="仿宋"/>
          <w:b w:val="0"/>
          <w:bCs w:val="0"/>
          <w:color w:val="auto"/>
          <w:kern w:val="0"/>
          <w:sz w:val="24"/>
          <w:szCs w:val="22"/>
          <w:lang w:val="en-US" w:eastAsia="zh-CN"/>
        </w:rPr>
        <w:t>8.4质保期内货物一旦出现故障，成交供应商响应时间不超过4小时，检修人员在2个工作日内到设备安装地点及时排除故障，技术人员在12小时内完成系统恢复正常使用；如果无法恢复的，成交供应商应负责联系厂家技术人员到现场排除故障，厂方人员接到报修后，响应时间不超过24小时；技术人员在72小时内不能排除故障时，成交供应商应提供与该系统规格、技术指标相一致的备品，并在到现场完成系统更换及指导工作，以保证实验教学正常运行。</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val="0"/>
          <w:bCs w:val="0"/>
          <w:color w:val="auto"/>
          <w:kern w:val="0"/>
          <w:sz w:val="24"/>
          <w:szCs w:val="22"/>
          <w:lang w:val="en-US" w:eastAsia="zh-CN"/>
        </w:rPr>
      </w:pPr>
      <w:r>
        <w:rPr>
          <w:rFonts w:hint="eastAsia" w:ascii="仿宋" w:hAnsi="仿宋" w:eastAsia="仿宋" w:cs="仿宋"/>
          <w:b w:val="0"/>
          <w:bCs w:val="0"/>
          <w:color w:val="auto"/>
          <w:kern w:val="0"/>
          <w:sz w:val="24"/>
          <w:szCs w:val="22"/>
          <w:lang w:val="en-US" w:eastAsia="zh-CN"/>
        </w:rPr>
        <w:t>8.5质保期结束后，成交供应商需提供终身应用咨询、技术帮助及维护；货物一旦出现故障，成交供应商需协助采购人对货物进行维修，远程不能解决的，成交供应商需派出技术人员2个工作日内到现场进行维修，只收取人员差旅费，对设备故障需要更换的配件以成本价提供。</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val="0"/>
          <w:bCs w:val="0"/>
          <w:color w:val="auto"/>
          <w:kern w:val="0"/>
          <w:sz w:val="24"/>
          <w:szCs w:val="22"/>
          <w:lang w:val="en-US" w:eastAsia="zh-CN"/>
        </w:rPr>
      </w:pPr>
      <w:r>
        <w:rPr>
          <w:rFonts w:hint="eastAsia" w:ascii="仿宋" w:hAnsi="仿宋" w:eastAsia="仿宋" w:cs="仿宋"/>
          <w:b w:val="0"/>
          <w:bCs w:val="0"/>
          <w:color w:val="auto"/>
          <w:kern w:val="0"/>
          <w:sz w:val="24"/>
          <w:szCs w:val="22"/>
          <w:lang w:val="en-US" w:eastAsia="zh-CN"/>
        </w:rPr>
        <w:t>8.6培训：成交供应商应结合本次采购的货物，有计划地对采购人派出管理、维护及使用人员进行安装现场的基本知识、使用、维护与保养技术的培训。</w:t>
      </w:r>
    </w:p>
    <w:p>
      <w:pPr>
        <w:widowControl/>
        <w:spacing w:line="276" w:lineRule="auto"/>
        <w:rPr>
          <w:rFonts w:hint="eastAsia" w:ascii="仿宋" w:hAnsi="仿宋" w:eastAsia="仿宋" w:cs="仿宋"/>
          <w:b/>
          <w:color w:val="auto"/>
          <w:sz w:val="24"/>
          <w:lang w:val="en-US" w:eastAsia="zh-CN"/>
        </w:rPr>
      </w:pPr>
      <w:r>
        <w:rPr>
          <w:rFonts w:hint="eastAsia" w:ascii="仿宋" w:hAnsi="仿宋" w:eastAsia="仿宋" w:cs="仿宋"/>
          <w:b/>
          <w:color w:val="auto"/>
          <w:sz w:val="24"/>
          <w:lang w:val="en-US" w:eastAsia="zh-CN"/>
        </w:rPr>
        <w:t>9、报价要求</w:t>
      </w:r>
    </w:p>
    <w:p>
      <w:pPr>
        <w:widowControl/>
        <w:spacing w:line="276" w:lineRule="auto"/>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9.1供应商根据本项目特点和自身条件确定投标报价。</w:t>
      </w:r>
    </w:p>
    <w:p>
      <w:pPr>
        <w:widowControl/>
        <w:spacing w:line="276" w:lineRule="auto"/>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9.2投标报价为整个项目的总报价，包括包装、运输、税收、装卸及搬运、旧吊顶板的拆除及清理、安装施工、保险、运行维护、验收、售后服务以及成交服务费等费用，如有漏项，视同已包含在其它项目中，投标总报价和单价不做调整。</w:t>
      </w:r>
    </w:p>
    <w:p>
      <w:pPr>
        <w:widowControl/>
        <w:spacing w:line="276" w:lineRule="auto"/>
        <w:rPr>
          <w:rFonts w:hint="eastAsia" w:ascii="仿宋" w:hAnsi="仿宋" w:eastAsia="仿宋" w:cs="仿宋"/>
          <w:b w:val="0"/>
          <w:bCs/>
          <w:color w:val="auto"/>
          <w:sz w:val="24"/>
          <w:lang w:val="en-US" w:eastAsia="zh-CN"/>
        </w:rPr>
      </w:pPr>
      <w:r>
        <w:rPr>
          <w:rFonts w:hint="eastAsia" w:ascii="仿宋" w:hAnsi="仿宋" w:eastAsia="仿宋" w:cs="仿宋"/>
          <w:b w:val="0"/>
          <w:bCs/>
          <w:color w:val="auto"/>
          <w:sz w:val="24"/>
          <w:lang w:val="en-US" w:eastAsia="zh-CN"/>
        </w:rPr>
        <w:t>9.3除由于采购人需求变更外，成交供应商应承担本谈判文件规定的所有费用和不可预见费用。</w:t>
      </w:r>
    </w:p>
    <w:p>
      <w:pPr>
        <w:widowControl/>
        <w:spacing w:line="276" w:lineRule="auto"/>
        <w:rPr>
          <w:rFonts w:hint="eastAsia" w:ascii="仿宋" w:hAnsi="仿宋" w:eastAsia="仿宋" w:cs="仿宋"/>
          <w:b/>
          <w:bCs/>
          <w:color w:val="auto"/>
          <w:sz w:val="24"/>
        </w:rPr>
      </w:pPr>
      <w:r>
        <w:rPr>
          <w:rFonts w:hint="eastAsia" w:ascii="仿宋" w:hAnsi="仿宋" w:eastAsia="仿宋" w:cs="仿宋"/>
          <w:b w:val="0"/>
          <w:bCs/>
          <w:color w:val="auto"/>
          <w:sz w:val="24"/>
          <w:lang w:val="en-US" w:eastAsia="zh-CN"/>
        </w:rPr>
        <w:t>9.4本项目以人民币为结算货币。</w:t>
      </w:r>
    </w:p>
    <w:p>
      <w:pPr>
        <w:widowControl/>
        <w:spacing w:line="276" w:lineRule="auto"/>
        <w:jc w:val="left"/>
        <w:rPr>
          <w:rFonts w:ascii="仿宋" w:hAnsi="仿宋" w:eastAsia="仿宋" w:cs="仿宋"/>
          <w:b/>
          <w:bCs/>
          <w:color w:val="auto"/>
          <w:sz w:val="24"/>
        </w:rPr>
      </w:pPr>
      <w:r>
        <w:rPr>
          <w:rFonts w:hint="eastAsia" w:ascii="仿宋" w:hAnsi="仿宋" w:eastAsia="仿宋" w:cs="仿宋"/>
          <w:b/>
          <w:bCs/>
          <w:color w:val="auto"/>
          <w:sz w:val="24"/>
        </w:rPr>
        <w:t>10、违约责任</w:t>
      </w:r>
    </w:p>
    <w:p>
      <w:pPr>
        <w:widowControl/>
        <w:spacing w:line="276" w:lineRule="auto"/>
        <w:ind w:firstLine="117" w:firstLineChars="49"/>
        <w:jc w:val="left"/>
        <w:rPr>
          <w:rFonts w:ascii="仿宋" w:hAnsi="仿宋" w:eastAsia="仿宋" w:cs="仿宋"/>
          <w:bCs/>
          <w:color w:val="auto"/>
          <w:sz w:val="24"/>
        </w:rPr>
      </w:pPr>
      <w:r>
        <w:rPr>
          <w:rFonts w:hint="eastAsia" w:ascii="仿宋" w:hAnsi="仿宋" w:eastAsia="仿宋" w:cs="仿宋"/>
          <w:bCs/>
          <w:color w:val="auto"/>
          <w:sz w:val="24"/>
        </w:rPr>
        <w:t>10.1因成交供应商原因造成采购合同无法按时签订，视为成交供应商违约，成交供应商违约对采购人造成损失的，需支付相应的赔偿。</w:t>
      </w:r>
    </w:p>
    <w:p>
      <w:pPr>
        <w:widowControl/>
        <w:spacing w:line="276" w:lineRule="auto"/>
        <w:ind w:firstLine="117" w:firstLineChars="49"/>
        <w:jc w:val="left"/>
        <w:rPr>
          <w:rFonts w:ascii="仿宋" w:hAnsi="仿宋" w:eastAsia="仿宋" w:cs="仿宋"/>
          <w:bCs/>
          <w:color w:val="auto"/>
          <w:sz w:val="24"/>
        </w:rPr>
      </w:pPr>
      <w:r>
        <w:rPr>
          <w:rFonts w:hint="eastAsia" w:ascii="仿宋" w:hAnsi="仿宋" w:eastAsia="仿宋" w:cs="仿宋"/>
          <w:bCs/>
          <w:color w:val="auto"/>
          <w:sz w:val="24"/>
        </w:rPr>
        <w:t>10.2在签</w:t>
      </w:r>
      <w:r>
        <w:rPr>
          <w:rFonts w:hint="eastAsia" w:ascii="仿宋" w:hAnsi="仿宋" w:eastAsia="仿宋" w:cs="仿宋"/>
          <w:bCs/>
          <w:color w:val="auto"/>
          <w:sz w:val="24"/>
          <w:lang w:val="en-US" w:eastAsia="zh-CN"/>
        </w:rPr>
        <w:t>订</w:t>
      </w:r>
      <w:r>
        <w:rPr>
          <w:rFonts w:hint="eastAsia" w:ascii="仿宋" w:hAnsi="仿宋" w:eastAsia="仿宋" w:cs="仿宋"/>
          <w:bCs/>
          <w:color w:val="auto"/>
          <w:sz w:val="24"/>
        </w:rPr>
        <w:t>采购合同之后，成交供应商要求解除合同的，视为成交供应商违约，对采购人造成的损失的，成交供应商需支付相应的赔偿。</w:t>
      </w:r>
    </w:p>
    <w:p>
      <w:pPr>
        <w:widowControl/>
        <w:spacing w:line="276" w:lineRule="auto"/>
        <w:ind w:firstLine="117" w:firstLineChars="49"/>
        <w:jc w:val="left"/>
        <w:rPr>
          <w:rFonts w:ascii="仿宋" w:hAnsi="仿宋" w:eastAsia="仿宋" w:cs="仿宋"/>
          <w:bCs/>
          <w:color w:val="auto"/>
          <w:sz w:val="24"/>
        </w:rPr>
      </w:pPr>
      <w:r>
        <w:rPr>
          <w:rFonts w:hint="eastAsia" w:ascii="仿宋" w:hAnsi="仿宋" w:eastAsia="仿宋" w:cs="仿宋"/>
          <w:bCs/>
          <w:color w:val="auto"/>
          <w:sz w:val="24"/>
        </w:rPr>
        <w:t>10.3因成交供应商原因发生重大质量事故，除依约承担赔偿责任外，还将按有关质量管理办法规定执行。同时，采购人有权保留更换成交供应商的权利，并报相关行政主管部门处罚。</w:t>
      </w:r>
    </w:p>
    <w:p>
      <w:pPr>
        <w:widowControl/>
        <w:spacing w:line="276" w:lineRule="auto"/>
        <w:ind w:firstLine="117" w:firstLineChars="49"/>
        <w:jc w:val="left"/>
        <w:rPr>
          <w:rFonts w:ascii="仿宋" w:hAnsi="仿宋" w:eastAsia="仿宋" w:cs="仿宋"/>
          <w:bCs/>
          <w:color w:val="auto"/>
          <w:sz w:val="24"/>
        </w:rPr>
      </w:pPr>
      <w:r>
        <w:rPr>
          <w:rFonts w:hint="eastAsia" w:ascii="仿宋" w:hAnsi="仿宋" w:eastAsia="仿宋" w:cs="仿宋"/>
          <w:bCs/>
          <w:color w:val="auto"/>
          <w:sz w:val="24"/>
        </w:rPr>
        <w:t>10.4在明确违约责任后，成交供应商应在接到书面通知书起七天内支付违约金、赔偿金等。</w:t>
      </w:r>
    </w:p>
    <w:p>
      <w:pPr>
        <w:widowControl/>
        <w:spacing w:line="276" w:lineRule="auto"/>
        <w:jc w:val="left"/>
        <w:rPr>
          <w:rFonts w:ascii="仿宋" w:hAnsi="仿宋" w:eastAsia="仿宋" w:cs="仿宋"/>
          <w:b/>
          <w:color w:val="auto"/>
          <w:sz w:val="24"/>
        </w:rPr>
      </w:pPr>
      <w:r>
        <w:rPr>
          <w:rFonts w:hint="eastAsia" w:ascii="仿宋" w:hAnsi="仿宋" w:eastAsia="仿宋" w:cs="仿宋"/>
          <w:b/>
          <w:color w:val="auto"/>
          <w:sz w:val="24"/>
        </w:rPr>
        <w:t>11、仲裁、诉讼条款</w:t>
      </w:r>
    </w:p>
    <w:p>
      <w:pPr>
        <w:widowControl/>
        <w:spacing w:line="276" w:lineRule="auto"/>
        <w:ind w:firstLine="480" w:firstLineChars="200"/>
        <w:jc w:val="left"/>
        <w:rPr>
          <w:rFonts w:ascii="仿宋" w:hAnsi="仿宋" w:eastAsia="仿宋" w:cs="仿宋"/>
          <w:bCs/>
          <w:color w:val="auto"/>
          <w:sz w:val="24"/>
        </w:rPr>
      </w:pPr>
      <w:r>
        <w:rPr>
          <w:rFonts w:hint="eastAsia" w:ascii="仿宋" w:hAnsi="仿宋" w:eastAsia="仿宋" w:cs="仿宋"/>
          <w:bCs/>
          <w:color w:val="auto"/>
          <w:sz w:val="24"/>
        </w:rPr>
        <w:t>因采购或与采购合同有关的一切事项发生争议，由采购人和成交供应商双方友好协商解决。协商不成的，任何一方均可选择以下方式解决：</w:t>
      </w:r>
      <w:r>
        <w:rPr>
          <w:rFonts w:hint="eastAsia" w:ascii="仿宋" w:hAnsi="仿宋" w:eastAsia="仿宋" w:cs="仿宋"/>
          <w:bCs/>
          <w:color w:val="auto"/>
          <w:sz w:val="24"/>
          <w:u w:val="single"/>
        </w:rPr>
        <w:t>（1）</w:t>
      </w:r>
    </w:p>
    <w:p>
      <w:pPr>
        <w:widowControl/>
        <w:spacing w:line="276" w:lineRule="auto"/>
        <w:ind w:firstLine="357" w:firstLineChars="149"/>
        <w:jc w:val="left"/>
        <w:rPr>
          <w:rFonts w:ascii="仿宋" w:hAnsi="仿宋" w:eastAsia="仿宋" w:cs="仿宋"/>
          <w:bCs/>
          <w:color w:val="auto"/>
          <w:sz w:val="24"/>
        </w:rPr>
      </w:pPr>
      <w:r>
        <w:rPr>
          <w:rFonts w:hint="eastAsia" w:ascii="仿宋" w:hAnsi="仿宋" w:eastAsia="仿宋" w:cs="仿宋"/>
          <w:bCs/>
          <w:color w:val="auto"/>
          <w:sz w:val="24"/>
        </w:rPr>
        <w:t>(1)向采购人所在地仲裁委员会申请仲裁；</w:t>
      </w:r>
    </w:p>
    <w:p>
      <w:pPr>
        <w:widowControl/>
        <w:spacing w:line="276" w:lineRule="auto"/>
        <w:ind w:firstLine="357" w:firstLineChars="149"/>
        <w:jc w:val="left"/>
        <w:rPr>
          <w:rFonts w:hint="eastAsia" w:ascii="仿宋" w:hAnsi="仿宋" w:eastAsia="仿宋" w:cs="仿宋"/>
          <w:bCs/>
          <w:color w:val="auto"/>
          <w:sz w:val="24"/>
        </w:rPr>
      </w:pPr>
      <w:r>
        <w:rPr>
          <w:rFonts w:hint="eastAsia" w:ascii="仿宋" w:hAnsi="仿宋" w:eastAsia="仿宋" w:cs="仿宋"/>
          <w:bCs/>
          <w:color w:val="auto"/>
          <w:sz w:val="24"/>
        </w:rPr>
        <w:t>(2)向有管辖权的人民法院提起诉讼。</w:t>
      </w:r>
    </w:p>
    <w:p>
      <w:pPr>
        <w:keepNext w:val="0"/>
        <w:keepLines w:val="0"/>
        <w:pageBreakBefore w:val="0"/>
        <w:widowControl/>
        <w:kinsoku/>
        <w:wordWrap/>
        <w:overflowPunct/>
        <w:topLinePunct w:val="0"/>
        <w:autoSpaceDE/>
        <w:autoSpaceDN/>
        <w:bidi w:val="0"/>
        <w:adjustRightInd/>
        <w:snapToGrid/>
        <w:spacing w:line="360" w:lineRule="atLeast"/>
        <w:ind w:right="10"/>
        <w:jc w:val="left"/>
        <w:textAlignment w:val="auto"/>
        <w:rPr>
          <w:rFonts w:hint="eastAsia" w:ascii="仿宋" w:hAnsi="仿宋" w:eastAsia="仿宋" w:cs="仿宋"/>
          <w:b/>
          <w:bCs/>
          <w:color w:val="auto"/>
          <w:kern w:val="0"/>
          <w:sz w:val="24"/>
          <w:szCs w:val="22"/>
          <w:u w:val="single"/>
          <w:lang w:val="en-US" w:eastAsia="zh-CN"/>
        </w:rPr>
      </w:pPr>
      <w:r>
        <w:rPr>
          <w:rFonts w:hint="eastAsia" w:ascii="仿宋" w:hAnsi="仿宋" w:eastAsia="仿宋" w:cs="仿宋"/>
          <w:b/>
          <w:bCs/>
          <w:color w:val="auto"/>
          <w:kern w:val="0"/>
          <w:sz w:val="24"/>
          <w:szCs w:val="22"/>
          <w:u w:val="single"/>
          <w:lang w:val="en-US" w:eastAsia="zh-CN"/>
        </w:rPr>
        <w:t>备注：以上所有要求均为带★的基本要求，不允许负偏离，否则视为无效响应。</w:t>
      </w:r>
    </w:p>
    <w:p>
      <w:pPr>
        <w:keepNext w:val="0"/>
        <w:keepLines w:val="0"/>
        <w:pageBreakBefore w:val="0"/>
        <w:kinsoku/>
        <w:wordWrap/>
        <w:overflowPunct/>
        <w:topLinePunct w:val="0"/>
        <w:autoSpaceDE/>
        <w:autoSpaceDN/>
        <w:bidi w:val="0"/>
        <w:adjustRightInd/>
        <w:snapToGrid/>
        <w:spacing w:line="360" w:lineRule="atLeast"/>
        <w:textAlignment w:val="auto"/>
        <w:rPr>
          <w:rFonts w:ascii="仿宋" w:hAnsi="仿宋" w:eastAsia="仿宋" w:cs="仿宋"/>
          <w:b/>
          <w:bCs/>
          <w:color w:val="auto"/>
          <w:sz w:val="24"/>
        </w:rPr>
      </w:pPr>
      <w:r>
        <w:rPr>
          <w:rFonts w:hint="eastAsia" w:ascii="仿宋" w:hAnsi="仿宋" w:eastAsia="仿宋" w:cs="仿宋"/>
          <w:b/>
          <w:bCs/>
          <w:color w:val="auto"/>
          <w:sz w:val="24"/>
        </w:rPr>
        <w:t>四、其他事项</w:t>
      </w:r>
    </w:p>
    <w:p>
      <w:pPr>
        <w:keepNext w:val="0"/>
        <w:keepLines w:val="0"/>
        <w:pageBreakBefore w:val="0"/>
        <w:kinsoku/>
        <w:wordWrap/>
        <w:overflowPunct/>
        <w:topLinePunct w:val="0"/>
        <w:autoSpaceDE/>
        <w:autoSpaceDN/>
        <w:bidi w:val="0"/>
        <w:adjustRightInd/>
        <w:snapToGrid/>
        <w:spacing w:line="360" w:lineRule="atLeast"/>
        <w:textAlignment w:val="auto"/>
        <w:rPr>
          <w:rFonts w:ascii="仿宋" w:hAnsi="仿宋" w:eastAsia="仿宋" w:cs="仿宋"/>
          <w:b/>
          <w:bCs/>
          <w:color w:val="auto"/>
          <w:sz w:val="24"/>
        </w:rPr>
      </w:pPr>
      <w:r>
        <w:rPr>
          <w:rFonts w:hint="eastAsia" w:ascii="仿宋" w:hAnsi="仿宋" w:eastAsia="仿宋" w:cs="仿宋"/>
          <w:color w:val="auto"/>
          <w:sz w:val="24"/>
        </w:rPr>
        <w:t>1、除招标文件另有规定外，若出现有关法律、法规和规章有强制性规定但招标文件未列明的情形，则</w:t>
      </w:r>
      <w:r>
        <w:rPr>
          <w:rFonts w:hint="eastAsia" w:ascii="仿宋" w:hAnsi="仿宋" w:eastAsia="仿宋" w:cs="仿宋"/>
          <w:color w:val="auto"/>
          <w:sz w:val="24"/>
          <w:lang w:eastAsia="zh-CN"/>
        </w:rPr>
        <w:t>供应商</w:t>
      </w:r>
      <w:r>
        <w:rPr>
          <w:rFonts w:hint="eastAsia" w:ascii="仿宋" w:hAnsi="仿宋" w:eastAsia="仿宋" w:cs="仿宋"/>
          <w:color w:val="auto"/>
          <w:sz w:val="24"/>
        </w:rPr>
        <w:t>应按照有关法律、法规和规章强制性规定执行。</w:t>
      </w:r>
    </w:p>
    <w:p>
      <w:pPr>
        <w:keepNext w:val="0"/>
        <w:keepLines w:val="0"/>
        <w:pageBreakBefore w:val="0"/>
        <w:kinsoku/>
        <w:wordWrap/>
        <w:overflowPunct/>
        <w:topLinePunct w:val="0"/>
        <w:autoSpaceDE/>
        <w:autoSpaceDN/>
        <w:bidi w:val="0"/>
        <w:adjustRightInd/>
        <w:snapToGrid/>
        <w:spacing w:line="360" w:lineRule="atLeast"/>
        <w:textAlignment w:val="auto"/>
        <w:rPr>
          <w:rFonts w:hint="eastAsia" w:ascii="仿宋" w:hAnsi="仿宋" w:eastAsia="仿宋" w:cs="仿宋"/>
          <w:color w:val="auto"/>
          <w:sz w:val="24"/>
        </w:rPr>
      </w:pPr>
      <w:r>
        <w:rPr>
          <w:rFonts w:hint="eastAsia" w:ascii="仿宋" w:hAnsi="仿宋" w:eastAsia="仿宋" w:cs="仿宋"/>
          <w:color w:val="auto"/>
          <w:sz w:val="24"/>
        </w:rPr>
        <w:t>2、其他：无</w:t>
      </w:r>
    </w:p>
    <w:p>
      <w:pPr>
        <w:rPr>
          <w:rFonts w:hint="eastAsia"/>
        </w:rPr>
      </w:pPr>
    </w:p>
    <w:p>
      <w:pPr>
        <w:rPr>
          <w:rFonts w:hint="eastAsia"/>
        </w:rPr>
      </w:pPr>
    </w:p>
    <w:p>
      <w:pPr>
        <w:rPr>
          <w:rFonts w:hint="eastAsia"/>
        </w:rPr>
      </w:pPr>
    </w:p>
    <w:p>
      <w:pPr>
        <w:rPr>
          <w:rFonts w:hint="eastAsia"/>
        </w:rPr>
      </w:pPr>
    </w:p>
    <w:p>
      <w:pPr>
        <w:pStyle w:val="4"/>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7"/>
        <w:keepNext w:val="0"/>
        <w:keepLines w:val="0"/>
        <w:pageBreakBefore w:val="0"/>
        <w:widowControl/>
        <w:kinsoku/>
        <w:wordWrap/>
        <w:overflowPunct/>
        <w:topLinePunct w:val="0"/>
        <w:autoSpaceDE/>
        <w:autoSpaceDN/>
        <w:bidi w:val="0"/>
        <w:adjustRightInd/>
        <w:snapToGrid/>
        <w:spacing w:before="75" w:beforeAutospacing="0" w:after="75" w:afterAutospacing="0" w:line="360" w:lineRule="atLeast"/>
        <w:jc w:val="center"/>
        <w:textAlignment w:val="auto"/>
        <w:outlineLvl w:val="0"/>
        <w:rPr>
          <w:rFonts w:hint="eastAsia" w:ascii="仿宋" w:hAnsi="仿宋" w:eastAsia="仿宋" w:cs="仿宋"/>
          <w:b/>
          <w:bCs/>
          <w:color w:val="auto"/>
          <w:kern w:val="44"/>
          <w:sz w:val="32"/>
          <w:szCs w:val="32"/>
          <w:lang w:val="en-US" w:eastAsia="zh-CN" w:bidi="ar-SA"/>
        </w:rPr>
      </w:pPr>
      <w:bookmarkStart w:id="16" w:name="_Toc19961"/>
      <w:r>
        <w:rPr>
          <w:rFonts w:hint="eastAsia" w:ascii="仿宋" w:hAnsi="仿宋" w:eastAsia="仿宋" w:cs="仿宋"/>
          <w:b/>
          <w:bCs/>
          <w:color w:val="auto"/>
          <w:kern w:val="44"/>
          <w:sz w:val="32"/>
          <w:szCs w:val="32"/>
          <w:lang w:val="en-US" w:eastAsia="zh-CN" w:bidi="ar-SA"/>
        </w:rPr>
        <w:t>第四章 合同主要条款及格式</w:t>
      </w:r>
      <w:bookmarkEnd w:id="14"/>
      <w:bookmarkEnd w:id="16"/>
    </w:p>
    <w:p>
      <w:pPr>
        <w:pStyle w:val="43"/>
        <w:jc w:val="center"/>
        <w:rPr>
          <w:rFonts w:hint="eastAsia" w:ascii="仿宋" w:hAnsi="仿宋" w:eastAsia="仿宋" w:cs="仿宋"/>
          <w:color w:val="auto"/>
          <w:sz w:val="24"/>
          <w:szCs w:val="24"/>
        </w:rPr>
      </w:pPr>
      <w:bookmarkStart w:id="17" w:name="_Toc29012"/>
      <w:r>
        <w:rPr>
          <w:rFonts w:hint="eastAsia" w:ascii="仿宋" w:hAnsi="仿宋" w:eastAsia="仿宋" w:cs="仿宋"/>
          <w:color w:val="auto"/>
          <w:sz w:val="24"/>
          <w:szCs w:val="24"/>
        </w:rPr>
        <w:t>编制说明</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1、签订合同应遵守《中华人民共和国政府采购法》、《中华人民共和国民法典》。</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2、签订合同时，采购人与成交供应商应结合谈判文件第三章规定填列相应内容。如果双方使用谈判文件第四章已有规定的条款及格式，双方均不得对规定进行变更或调整；谈判文件第四章未作规定的条款及格式，双方可通过友好协商进行约定。</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3.本章节所附的合同主要条款及格式为参考文本，如果因为项目实际特点不能适用，则可由甲乙双方在合同签订阶段可通过友好协商进行约定。</w:t>
      </w:r>
    </w:p>
    <w:p>
      <w:pPr>
        <w:pStyle w:val="43"/>
        <w:jc w:val="center"/>
        <w:outlineLvl w:val="2"/>
        <w:rPr>
          <w:rFonts w:hint="eastAsia" w:ascii="仿宋" w:hAnsi="仿宋" w:eastAsia="仿宋" w:cs="仿宋"/>
          <w:color w:val="auto"/>
          <w:sz w:val="24"/>
          <w:szCs w:val="24"/>
        </w:rPr>
      </w:pPr>
      <w:r>
        <w:rPr>
          <w:rFonts w:hint="eastAsia" w:ascii="仿宋" w:hAnsi="仿宋" w:eastAsia="仿宋" w:cs="仿宋"/>
          <w:b/>
          <w:color w:val="auto"/>
          <w:sz w:val="24"/>
          <w:szCs w:val="24"/>
        </w:rPr>
        <w:t>参考文本</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合同编号：</w:t>
      </w:r>
    </w:p>
    <w:p>
      <w:pPr>
        <w:pStyle w:val="43"/>
        <w:jc w:val="center"/>
        <w:outlineLvl w:val="1"/>
        <w:rPr>
          <w:rFonts w:hint="eastAsia" w:ascii="仿宋" w:hAnsi="仿宋" w:eastAsia="仿宋" w:cs="仿宋"/>
          <w:color w:val="auto"/>
          <w:sz w:val="24"/>
          <w:szCs w:val="24"/>
        </w:rPr>
      </w:pPr>
      <w:r>
        <w:rPr>
          <w:rFonts w:hint="eastAsia" w:ascii="仿宋" w:hAnsi="仿宋" w:eastAsia="仿宋" w:cs="仿宋"/>
          <w:b/>
          <w:color w:val="auto"/>
          <w:sz w:val="24"/>
          <w:szCs w:val="24"/>
        </w:rPr>
        <w:t>福建省政府采购合同（货物类）</w:t>
      </w:r>
    </w:p>
    <w:p>
      <w:pPr>
        <w:pStyle w:val="43"/>
        <w:jc w:val="center"/>
        <w:outlineLvl w:val="3"/>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编制说明</w:t>
      </w:r>
    </w:p>
    <w:p>
      <w:pPr>
        <w:pStyle w:val="43"/>
        <w:jc w:val="center"/>
        <w:outlineLvl w:val="3"/>
        <w:rPr>
          <w:rFonts w:hint="eastAsia" w:ascii="仿宋" w:hAnsi="仿宋" w:eastAsia="仿宋" w:cs="仿宋"/>
          <w:b/>
          <w:color w:val="auto"/>
          <w:sz w:val="24"/>
          <w:szCs w:val="24"/>
          <w:lang w:eastAsia="zh-CN"/>
        </w:rPr>
      </w:pPr>
    </w:p>
    <w:p>
      <w:pPr>
        <w:pStyle w:val="43"/>
        <w:jc w:val="left"/>
        <w:outlineLvl w:val="3"/>
        <w:rPr>
          <w:rFonts w:hint="eastAsia" w:ascii="仿宋" w:hAnsi="仿宋" w:eastAsia="仿宋" w:cs="仿宋"/>
          <w:color w:val="auto"/>
          <w:sz w:val="24"/>
          <w:szCs w:val="24"/>
        </w:rPr>
      </w:pPr>
      <w:r>
        <w:rPr>
          <w:rFonts w:hint="eastAsia" w:ascii="仿宋" w:hAnsi="仿宋" w:eastAsia="仿宋" w:cs="仿宋"/>
          <w:b/>
          <w:color w:val="auto"/>
          <w:sz w:val="24"/>
          <w:szCs w:val="24"/>
        </w:rPr>
        <w:t>1.签订合同应遵守《中华人民共和国政府采购法》及其实施条例、《中华人民共和国民法典》等法律法规及其他有关规定。</w:t>
      </w:r>
    </w:p>
    <w:p>
      <w:pPr>
        <w:pStyle w:val="43"/>
        <w:jc w:val="left"/>
        <w:outlineLvl w:val="3"/>
        <w:rPr>
          <w:rFonts w:hint="eastAsia" w:ascii="仿宋" w:hAnsi="仿宋" w:eastAsia="仿宋" w:cs="仿宋"/>
          <w:color w:val="auto"/>
          <w:sz w:val="24"/>
          <w:szCs w:val="24"/>
        </w:rPr>
      </w:pPr>
      <w:r>
        <w:rPr>
          <w:rFonts w:hint="eastAsia" w:ascii="仿宋" w:hAnsi="仿宋" w:eastAsia="仿宋" w:cs="仿宋"/>
          <w:b/>
          <w:color w:val="auto"/>
          <w:sz w:val="24"/>
          <w:szCs w:val="24"/>
        </w:rPr>
        <w:t>2.签订合同时，采购人与中标(成交)人应结合采购文件规定填列相应内容。采购文件已有约定的，双方均不得对约定进行变更或调整；采购文件未作规定的，双方可通过友好协商进行约定。</w:t>
      </w:r>
    </w:p>
    <w:p>
      <w:pPr>
        <w:pStyle w:val="43"/>
        <w:jc w:val="left"/>
        <w:outlineLvl w:val="3"/>
        <w:rPr>
          <w:rFonts w:hint="eastAsia" w:ascii="仿宋" w:hAnsi="仿宋" w:eastAsia="仿宋" w:cs="仿宋"/>
          <w:color w:val="auto"/>
          <w:sz w:val="24"/>
          <w:szCs w:val="24"/>
        </w:rPr>
      </w:pPr>
      <w:r>
        <w:rPr>
          <w:rFonts w:hint="eastAsia" w:ascii="仿宋" w:hAnsi="仿宋" w:eastAsia="仿宋" w:cs="仿宋"/>
          <w:b/>
          <w:color w:val="auto"/>
          <w:sz w:val="24"/>
          <w:szCs w:val="24"/>
        </w:rPr>
        <w:t>3.政府有关主管部门对若干合同有规范文本的，可使用相应合同文本。</w:t>
      </w:r>
    </w:p>
    <w:p>
      <w:pPr>
        <w:pStyle w:val="43"/>
        <w:jc w:val="left"/>
        <w:outlineLvl w:val="3"/>
        <w:rPr>
          <w:rFonts w:hint="eastAsia" w:ascii="仿宋" w:hAnsi="仿宋" w:eastAsia="仿宋" w:cs="仿宋"/>
          <w:color w:val="auto"/>
          <w:sz w:val="24"/>
          <w:szCs w:val="24"/>
        </w:rPr>
      </w:pPr>
      <w:r>
        <w:rPr>
          <w:rFonts w:hint="eastAsia" w:ascii="仿宋" w:hAnsi="仿宋" w:eastAsia="仿宋" w:cs="仿宋"/>
          <w:b/>
          <w:color w:val="auto"/>
          <w:sz w:val="24"/>
          <w:szCs w:val="24"/>
        </w:rPr>
        <w:t>4.本合同范本仅供参考，采购人应当根据采购项目的实际需求对合同条款进行修改、补充。</w:t>
      </w:r>
    </w:p>
    <w:p>
      <w:pPr>
        <w:pStyle w:val="43"/>
        <w:ind w:left="0"/>
        <w:jc w:val="left"/>
        <w:rPr>
          <w:rFonts w:hint="eastAsia" w:ascii="仿宋" w:hAnsi="仿宋" w:eastAsia="仿宋" w:cs="仿宋"/>
          <w:color w:val="auto"/>
          <w:sz w:val="24"/>
          <w:szCs w:val="24"/>
        </w:rPr>
      </w:pP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甲方：___________</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住所地：___________</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联系人：___________</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联系电话：___________</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传真：___________</w:t>
      </w:r>
    </w:p>
    <w:p>
      <w:pPr>
        <w:pStyle w:val="43"/>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电子邮箱：___________</w:t>
      </w:r>
    </w:p>
    <w:p>
      <w:pPr>
        <w:pStyle w:val="43"/>
        <w:jc w:val="left"/>
        <w:rPr>
          <w:rFonts w:hint="eastAsia" w:ascii="仿宋" w:hAnsi="仿宋" w:eastAsia="仿宋" w:cs="仿宋"/>
          <w:color w:val="auto"/>
          <w:sz w:val="24"/>
          <w:szCs w:val="24"/>
          <w:lang w:eastAsia="zh-CN"/>
        </w:rPr>
      </w:pPr>
    </w:p>
    <w:p>
      <w:pPr>
        <w:pStyle w:val="43"/>
        <w:ind w:left="0"/>
        <w:jc w:val="left"/>
        <w:rPr>
          <w:rFonts w:hint="eastAsia" w:ascii="仿宋" w:hAnsi="仿宋" w:eastAsia="仿宋" w:cs="仿宋"/>
          <w:color w:val="auto"/>
          <w:sz w:val="24"/>
          <w:szCs w:val="24"/>
        </w:rPr>
      </w:pP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乙方：___________</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住所地：___________</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联系人：___________</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联系电话：___________</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传真：___________</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电子邮箱：___________</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根据项目编号为________的___________项目（以下简称：“本项目”）的采购结果，遵循平等、自愿、公平和诚实信用的原则，双方签署本合同，具体内容如下：</w:t>
      </w:r>
    </w:p>
    <w:p>
      <w:pPr>
        <w:pStyle w:val="43"/>
        <w:jc w:val="left"/>
        <w:outlineLvl w:val="3"/>
        <w:rPr>
          <w:rFonts w:hint="eastAsia" w:ascii="仿宋" w:hAnsi="仿宋" w:eastAsia="仿宋" w:cs="仿宋"/>
          <w:color w:val="auto"/>
          <w:sz w:val="24"/>
          <w:szCs w:val="24"/>
        </w:rPr>
      </w:pPr>
      <w:r>
        <w:rPr>
          <w:rFonts w:hint="eastAsia" w:ascii="仿宋" w:hAnsi="仿宋" w:eastAsia="仿宋" w:cs="仿宋"/>
          <w:b/>
          <w:color w:val="auto"/>
          <w:sz w:val="24"/>
          <w:szCs w:val="24"/>
        </w:rPr>
        <w:t>一、合同组成部分</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1.1本合同条款及附件；</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1.2采购文件及其附件、补充文件；</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1.3乙方的响应文件及其附件、补充文件；</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1.4其他文件或材料：</w:t>
      </w:r>
    </w:p>
    <w:p>
      <w:pPr>
        <w:pStyle w:val="43"/>
        <w:jc w:val="left"/>
        <w:outlineLvl w:val="3"/>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二、合同标的</w:t>
      </w:r>
    </w:p>
    <w:p>
      <w:pPr>
        <w:pStyle w:val="43"/>
        <w:jc w:val="left"/>
        <w:outlineLvl w:val="3"/>
        <w:rPr>
          <w:rFonts w:hint="eastAsia" w:ascii="仿宋" w:hAnsi="仿宋" w:eastAsia="仿宋" w:cs="仿宋"/>
          <w:b/>
          <w:color w:val="auto"/>
          <w:sz w:val="24"/>
          <w:szCs w:val="24"/>
          <w:lang w:eastAsia="zh-CN"/>
        </w:rPr>
      </w:pPr>
    </w:p>
    <w:p>
      <w:pPr>
        <w:pStyle w:val="43"/>
        <w:jc w:val="left"/>
        <w:outlineLvl w:val="3"/>
        <w:rPr>
          <w:rFonts w:hint="eastAsia" w:ascii="仿宋" w:hAnsi="仿宋" w:eastAsia="仿宋" w:cs="仿宋"/>
          <w:color w:val="auto"/>
          <w:sz w:val="24"/>
          <w:szCs w:val="24"/>
        </w:rPr>
      </w:pPr>
      <w:r>
        <w:rPr>
          <w:rFonts w:hint="eastAsia" w:ascii="仿宋" w:hAnsi="仿宋" w:eastAsia="仿宋" w:cs="仿宋"/>
          <w:b/>
          <w:color w:val="auto"/>
          <w:sz w:val="24"/>
          <w:szCs w:val="24"/>
        </w:rPr>
        <w:t>三、合同金额</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3.1合同总价：人民币（大写）_________元（￥_________元）；</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3.2合同总价组成：___________；</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3.3其他需说明事项：___________；</w:t>
      </w:r>
    </w:p>
    <w:p>
      <w:pPr>
        <w:pStyle w:val="43"/>
        <w:jc w:val="left"/>
        <w:outlineLvl w:val="3"/>
        <w:rPr>
          <w:rFonts w:hint="eastAsia" w:ascii="仿宋" w:hAnsi="仿宋" w:eastAsia="仿宋" w:cs="仿宋"/>
          <w:color w:val="auto"/>
          <w:sz w:val="24"/>
          <w:szCs w:val="24"/>
        </w:rPr>
      </w:pPr>
      <w:r>
        <w:rPr>
          <w:rFonts w:hint="eastAsia" w:ascii="仿宋" w:hAnsi="仿宋" w:eastAsia="仿宋" w:cs="仿宋"/>
          <w:b/>
          <w:color w:val="auto"/>
          <w:sz w:val="24"/>
          <w:szCs w:val="24"/>
        </w:rPr>
        <w:t>四、合同标的交付</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4.1交付时间：___________</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4.2交付地点：___________</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4.3交付条件：___________</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4.4供货要求：</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乙方提供的产品必须是采购文件和响应文件中约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(2)乙方提供的全部货物均应采用标准保护措施进行包装，除采购文件中的采购需求另有要求外，乙方所提供的货物包装应当参照财政部办公厅等联合印发的《关于印发&lt;商品包装政府采购需求标准（试行）&gt; &lt;快递包装政府采购需求标准（试行）&gt;         的通知》（财办库〔2020〕123号）要求，包装应适用于远距离运输、防潮、防震、防锈和防野蛮装卸等要求，确保货物安全无损运抵现场。由于包装、运输、安装、调试等不善所引起的货物损坏或损失均由乙方承担。</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(3)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若乙方提供的采购标的不符合国家知识产权法律、法规的规定或被有关主管机关认定为假冒伪劣品，则乙方中标或成交资格将被取消；甲方还将按照有关法律、法规和规章的规定进行处理，具体如下：</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（4）其他供货要求：</w:t>
      </w:r>
    </w:p>
    <w:p>
      <w:pPr>
        <w:pStyle w:val="43"/>
        <w:jc w:val="left"/>
        <w:outlineLvl w:val="3"/>
        <w:rPr>
          <w:rFonts w:hint="eastAsia" w:ascii="仿宋" w:hAnsi="仿宋" w:eastAsia="仿宋" w:cs="仿宋"/>
          <w:color w:val="auto"/>
          <w:sz w:val="24"/>
          <w:szCs w:val="24"/>
        </w:rPr>
      </w:pPr>
      <w:r>
        <w:rPr>
          <w:rFonts w:hint="eastAsia" w:ascii="仿宋" w:hAnsi="仿宋" w:eastAsia="仿宋" w:cs="仿宋"/>
          <w:b/>
          <w:color w:val="auto"/>
          <w:sz w:val="24"/>
          <w:szCs w:val="24"/>
        </w:rPr>
        <w:t>五、质量标准及要求</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5.1质量标准及要求</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乙方应确保所有产品质量均需符合国家标准、地方标准、行业标准，以及有关技术规范和产品厂家的出厂标准，提供原厂质保书、合格证等有关文件资料，并保证产品是出厂原装合格产品。进口产品须是获得国家商检局颁布安全生产许可证的出厂原装合格产品。</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（2）其他质量要求</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5.2节能环保产品要求</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5.3质量保证范围、质量保证期及售后服务</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（1）质量保证范围：___________</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（2）本合同乙方所供应的货物质量保证期自验收合格之日起{_______月。</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（3）售后服务应按法律法规和采购文件约定执行，具体如下：</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5.4商品安全责任</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商品安全责任应按照法律法规和采购文件的规定执行，具体如下：</w:t>
      </w:r>
    </w:p>
    <w:p>
      <w:pPr>
        <w:pStyle w:val="43"/>
        <w:jc w:val="left"/>
        <w:outlineLvl w:val="3"/>
        <w:rPr>
          <w:rFonts w:hint="eastAsia" w:ascii="仿宋" w:hAnsi="仿宋" w:eastAsia="仿宋" w:cs="仿宋"/>
          <w:color w:val="auto"/>
          <w:sz w:val="24"/>
          <w:szCs w:val="24"/>
        </w:rPr>
      </w:pPr>
      <w:r>
        <w:rPr>
          <w:rFonts w:hint="eastAsia" w:ascii="仿宋" w:hAnsi="仿宋" w:eastAsia="仿宋" w:cs="仿宋"/>
          <w:b/>
          <w:color w:val="auto"/>
          <w:sz w:val="24"/>
          <w:szCs w:val="24"/>
        </w:rPr>
        <w:t>六、安装调试、验收及退、换货</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6.1安装调试、验收应按照采购文件、乙方响应文件的规定或约定进行，具体如下：</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6.2本项目是否邀请其他投标人参与验收：</w:t>
      </w:r>
    </w:p>
    <w:p>
      <w:pPr>
        <w:pStyle w:val="43"/>
        <w:jc w:val="left"/>
        <w:rPr>
          <w:rFonts w:hint="eastAsia" w:ascii="仿宋" w:hAnsi="仿宋" w:eastAsia="仿宋" w:cs="仿宋"/>
          <w:color w:val="auto"/>
          <w:sz w:val="24"/>
          <w:szCs w:val="24"/>
        </w:rPr>
      </w:pPr>
    </w:p>
    <w:p>
      <w:pPr>
        <w:pStyle w:val="43"/>
        <w:spacing w:line="30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不邀请。邀请，具体如下：</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6.3本项目是否邀请专家参与验收：</w:t>
      </w:r>
    </w:p>
    <w:p>
      <w:pPr>
        <w:pStyle w:val="43"/>
        <w:jc w:val="left"/>
        <w:rPr>
          <w:rFonts w:hint="eastAsia" w:ascii="仿宋" w:hAnsi="仿宋" w:eastAsia="仿宋" w:cs="仿宋"/>
          <w:color w:val="auto"/>
          <w:sz w:val="24"/>
          <w:szCs w:val="24"/>
        </w:rPr>
      </w:pPr>
    </w:p>
    <w:p>
      <w:pPr>
        <w:pStyle w:val="43"/>
        <w:spacing w:line="30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不邀请。邀请，具体如下：</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6.4本项目是否邀请国家认可的质量检测机构参与验收：</w:t>
      </w:r>
    </w:p>
    <w:p>
      <w:pPr>
        <w:pStyle w:val="43"/>
        <w:jc w:val="left"/>
        <w:rPr>
          <w:rFonts w:hint="eastAsia" w:ascii="仿宋" w:hAnsi="仿宋" w:eastAsia="仿宋" w:cs="仿宋"/>
          <w:color w:val="auto"/>
          <w:sz w:val="24"/>
          <w:szCs w:val="24"/>
        </w:rPr>
      </w:pPr>
    </w:p>
    <w:p>
      <w:pPr>
        <w:pStyle w:val="43"/>
        <w:spacing w:line="30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不邀请。邀请，具体如下：</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6.5履约验收：___________</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6.6退、换货：___________</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6.7其他：</w:t>
      </w:r>
    </w:p>
    <w:p>
      <w:pPr>
        <w:pStyle w:val="43"/>
        <w:jc w:val="left"/>
        <w:outlineLvl w:val="3"/>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七、资金支付方式、条件和时间</w:t>
      </w:r>
    </w:p>
    <w:p>
      <w:pPr>
        <w:pStyle w:val="43"/>
        <w:jc w:val="left"/>
        <w:outlineLvl w:val="3"/>
        <w:rPr>
          <w:rFonts w:hint="eastAsia" w:ascii="仿宋" w:hAnsi="仿宋" w:eastAsia="仿宋" w:cs="仿宋"/>
          <w:b/>
          <w:color w:val="auto"/>
          <w:sz w:val="24"/>
          <w:szCs w:val="24"/>
          <w:lang w:eastAsia="zh-CN"/>
        </w:rPr>
      </w:pPr>
    </w:p>
    <w:p>
      <w:pPr>
        <w:pStyle w:val="43"/>
        <w:jc w:val="left"/>
        <w:outlineLvl w:val="3"/>
        <w:rPr>
          <w:rFonts w:hint="eastAsia" w:ascii="仿宋" w:hAnsi="仿宋" w:eastAsia="仿宋" w:cs="仿宋"/>
          <w:color w:val="auto"/>
          <w:sz w:val="24"/>
          <w:szCs w:val="24"/>
        </w:rPr>
      </w:pPr>
      <w:r>
        <w:rPr>
          <w:rFonts w:hint="eastAsia" w:ascii="仿宋" w:hAnsi="仿宋" w:eastAsia="仿宋" w:cs="仿宋"/>
          <w:b/>
          <w:color w:val="auto"/>
          <w:sz w:val="24"/>
          <w:szCs w:val="24"/>
        </w:rPr>
        <w:t>八、履约保证金</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□有，□无。具体如下违约：（按照采购文件规定填写）。</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8.1乙方向甲方缴纳人民币 元（大写： ）作为本合同的履约保证金。</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8.2履约保证金缴纳形式：支票/汇票/电汇/保函等非现金形式。</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8.3履约保证金退还： （根据实际情况填写） 。</w:t>
      </w:r>
    </w:p>
    <w:p>
      <w:pPr>
        <w:pStyle w:val="43"/>
        <w:jc w:val="left"/>
        <w:outlineLvl w:val="3"/>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九、合同期限</w:t>
      </w:r>
    </w:p>
    <w:p>
      <w:pPr>
        <w:pStyle w:val="43"/>
        <w:jc w:val="left"/>
        <w:outlineLvl w:val="3"/>
        <w:rPr>
          <w:rFonts w:hint="eastAsia" w:ascii="仿宋" w:hAnsi="仿宋" w:eastAsia="仿宋" w:cs="仿宋"/>
          <w:b/>
          <w:color w:val="auto"/>
          <w:sz w:val="24"/>
          <w:szCs w:val="24"/>
          <w:lang w:eastAsia="zh-CN"/>
        </w:rPr>
      </w:pPr>
    </w:p>
    <w:p>
      <w:pPr>
        <w:pStyle w:val="43"/>
        <w:jc w:val="left"/>
        <w:outlineLvl w:val="3"/>
        <w:rPr>
          <w:rFonts w:hint="eastAsia" w:ascii="仿宋" w:hAnsi="仿宋" w:eastAsia="仿宋" w:cs="仿宋"/>
          <w:color w:val="auto"/>
          <w:sz w:val="24"/>
          <w:szCs w:val="24"/>
        </w:rPr>
      </w:pPr>
      <w:r>
        <w:rPr>
          <w:rFonts w:hint="eastAsia" w:ascii="仿宋" w:hAnsi="仿宋" w:eastAsia="仿宋" w:cs="仿宋"/>
          <w:b/>
          <w:color w:val="auto"/>
          <w:sz w:val="24"/>
          <w:szCs w:val="24"/>
        </w:rPr>
        <w:t>十、违约责任</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10.1甲方违约责任</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（1）甲方无正当理由拒收乙方交付的合格产品的，甲方向乙方偿付拒收货款总值_____的违约金</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甲方无故逾期验收和办理合同款项支付手续的,甲方应按逾期付款总额每日______向乙方支付违约金。</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（3）其他违约情形_______</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10.2乙方违约责任</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（1）乙方逾期履行服务的，乙方应按逾期交付总额每日_______向甲方支付违约金，由甲方从待付货款中扣除。乙方无正当理由逾期超过约定日期_______仍不能交付的，视为“乙方不按合同约定履约”；</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（2）乙方所交付的产品不符合合同规定及《采购文件》规定标准的，甲方有权拒收，乙方愿意更换产品但逾期交货的，按乙方逾期交货处理。乙方拒绝更换产品的，视为“乙方不按合同约定履约”；</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（3）乙方不按合同约定履约的，甲方可以解除采购合同，并对乙方已缴纳的履约保证金作“不予退还”处理。同时，乙方还须按向甲方支付违约金：</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（4）其他违约情形</w:t>
      </w:r>
    </w:p>
    <w:p>
      <w:pPr>
        <w:pStyle w:val="43"/>
        <w:jc w:val="left"/>
        <w:outlineLvl w:val="3"/>
        <w:rPr>
          <w:rFonts w:hint="eastAsia" w:ascii="仿宋" w:hAnsi="仿宋" w:eastAsia="仿宋" w:cs="仿宋"/>
          <w:color w:val="auto"/>
          <w:sz w:val="24"/>
          <w:szCs w:val="24"/>
        </w:rPr>
      </w:pPr>
      <w:r>
        <w:rPr>
          <w:rFonts w:hint="eastAsia" w:ascii="仿宋" w:hAnsi="仿宋" w:eastAsia="仿宋" w:cs="仿宋"/>
          <w:b/>
          <w:color w:val="auto"/>
          <w:sz w:val="24"/>
          <w:szCs w:val="24"/>
        </w:rPr>
        <w:t>十一、不可抗力事件处理</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43"/>
        <w:jc w:val="left"/>
        <w:outlineLvl w:val="3"/>
        <w:rPr>
          <w:rFonts w:hint="eastAsia" w:ascii="仿宋" w:hAnsi="仿宋" w:eastAsia="仿宋" w:cs="仿宋"/>
          <w:color w:val="auto"/>
          <w:sz w:val="24"/>
          <w:szCs w:val="24"/>
        </w:rPr>
      </w:pPr>
      <w:r>
        <w:rPr>
          <w:rFonts w:hint="eastAsia" w:ascii="仿宋" w:hAnsi="仿宋" w:eastAsia="仿宋" w:cs="仿宋"/>
          <w:b/>
          <w:color w:val="auto"/>
          <w:sz w:val="24"/>
          <w:szCs w:val="24"/>
        </w:rPr>
        <w:t>十二、保密条款</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12.1对于在采购和合同履行过程中所获悉的属于保密的内容，甲、乙双方均负有保密义务。</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12.2其他</w:t>
      </w:r>
    </w:p>
    <w:p>
      <w:pPr>
        <w:pStyle w:val="43"/>
        <w:jc w:val="left"/>
        <w:outlineLvl w:val="3"/>
        <w:rPr>
          <w:rFonts w:hint="eastAsia" w:ascii="仿宋" w:hAnsi="仿宋" w:eastAsia="仿宋" w:cs="仿宋"/>
          <w:color w:val="auto"/>
          <w:sz w:val="24"/>
          <w:szCs w:val="24"/>
        </w:rPr>
      </w:pPr>
      <w:r>
        <w:rPr>
          <w:rFonts w:hint="eastAsia" w:ascii="仿宋" w:hAnsi="仿宋" w:eastAsia="仿宋" w:cs="仿宋"/>
          <w:b/>
          <w:color w:val="auto"/>
          <w:sz w:val="24"/>
          <w:szCs w:val="24"/>
        </w:rPr>
        <w:t>十三、解决争议的方法</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13.1甲、乙双方协商解决。</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13.2若协商解决不成，则通过下列途径之一解决：</w:t>
      </w:r>
    </w:p>
    <w:p>
      <w:pPr>
        <w:pStyle w:val="43"/>
        <w:spacing w:line="30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提交仲裁委员会仲裁，具体如下：</w:t>
      </w:r>
    </w:p>
    <w:p>
      <w:pPr>
        <w:pStyle w:val="43"/>
        <w:spacing w:line="30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向人民法院提起诉讼，具体如下：</w:t>
      </w:r>
    </w:p>
    <w:p>
      <w:pPr>
        <w:pStyle w:val="43"/>
        <w:jc w:val="left"/>
        <w:outlineLvl w:val="3"/>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十四、合同其他条款</w:t>
      </w:r>
    </w:p>
    <w:p>
      <w:pPr>
        <w:pStyle w:val="43"/>
        <w:jc w:val="left"/>
        <w:outlineLvl w:val="3"/>
        <w:rPr>
          <w:rFonts w:hint="eastAsia" w:ascii="仿宋" w:hAnsi="仿宋" w:eastAsia="仿宋" w:cs="仿宋"/>
          <w:b/>
          <w:color w:val="auto"/>
          <w:sz w:val="24"/>
          <w:szCs w:val="24"/>
          <w:lang w:eastAsia="zh-CN"/>
        </w:rPr>
      </w:pPr>
    </w:p>
    <w:p>
      <w:pPr>
        <w:pStyle w:val="43"/>
        <w:jc w:val="left"/>
        <w:outlineLvl w:val="3"/>
        <w:rPr>
          <w:rFonts w:hint="eastAsia" w:ascii="仿宋" w:hAnsi="仿宋" w:eastAsia="仿宋" w:cs="仿宋"/>
          <w:color w:val="auto"/>
          <w:sz w:val="24"/>
          <w:szCs w:val="24"/>
        </w:rPr>
      </w:pPr>
      <w:r>
        <w:rPr>
          <w:rFonts w:hint="eastAsia" w:ascii="仿宋" w:hAnsi="仿宋" w:eastAsia="仿宋" w:cs="仿宋"/>
          <w:b/>
          <w:color w:val="auto"/>
          <w:sz w:val="24"/>
          <w:szCs w:val="24"/>
        </w:rPr>
        <w:t>十五、其他约定</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15.1合同文件与本合同具有同等法律效力。</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15.2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15.3本合同未尽事宜，遵照《中华人民共和国民法典》有关条文执行。</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15.4本合同正本一式_______份，具有同等法律效力，甲方、乙方各执_______份；副本_______份，_______</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15.5本合同已用于政府采购合同融资，为本项目提供合同融资的金融机构为：_______，甲乙双方应当按照融资合同的约定进行资金使用及款项支付。</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中标（成交）供应商应于采购合同签订之日起_______内，向发放政采贷的金融机构提交政府采购中标（成交）通知书和政府采购合同，贷款金额以政府采购合同金额为限。</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15.6其他</w:t>
      </w:r>
    </w:p>
    <w:p>
      <w:pPr>
        <w:pStyle w:val="43"/>
        <w:jc w:val="left"/>
        <w:outlineLvl w:val="3"/>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十六、合同附件</w:t>
      </w:r>
    </w:p>
    <w:p>
      <w:pPr>
        <w:pStyle w:val="43"/>
        <w:jc w:val="left"/>
        <w:outlineLvl w:val="3"/>
        <w:rPr>
          <w:rFonts w:hint="eastAsia" w:ascii="仿宋" w:hAnsi="仿宋" w:eastAsia="仿宋" w:cs="仿宋"/>
          <w:b/>
          <w:color w:val="auto"/>
          <w:sz w:val="24"/>
          <w:szCs w:val="24"/>
          <w:lang w:eastAsia="zh-CN"/>
        </w:rPr>
      </w:pP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甲方（采购人）：</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法定（授权）代表人：</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纳税人识别号：</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开户银行：</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账号：</w:t>
      </w:r>
    </w:p>
    <w:p>
      <w:pPr>
        <w:pStyle w:val="43"/>
        <w:jc w:val="left"/>
        <w:rPr>
          <w:rFonts w:hint="eastAsia" w:ascii="仿宋" w:hAnsi="仿宋" w:eastAsia="仿宋" w:cs="仿宋"/>
          <w:color w:val="auto"/>
          <w:sz w:val="24"/>
          <w:szCs w:val="24"/>
        </w:rPr>
      </w:pP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乙方（中标或成交人）：</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法定（授权）代表人：</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纳税人识别号：</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开户银行：</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账号：</w:t>
      </w:r>
    </w:p>
    <w:p>
      <w:pPr>
        <w:pStyle w:val="43"/>
        <w:jc w:val="left"/>
        <w:rPr>
          <w:rFonts w:hint="eastAsia" w:ascii="仿宋" w:hAnsi="仿宋" w:eastAsia="仿宋" w:cs="仿宋"/>
          <w:color w:val="auto"/>
          <w:sz w:val="24"/>
          <w:szCs w:val="24"/>
        </w:rPr>
      </w:pP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签订地点：__________</w:t>
      </w:r>
    </w:p>
    <w:p>
      <w:pPr>
        <w:pStyle w:val="43"/>
        <w:jc w:val="left"/>
        <w:rPr>
          <w:rFonts w:hint="eastAsia" w:ascii="仿宋" w:hAnsi="仿宋" w:eastAsia="仿宋" w:cs="仿宋"/>
          <w:color w:val="auto"/>
          <w:sz w:val="24"/>
          <w:szCs w:val="24"/>
        </w:rPr>
      </w:pPr>
      <w:r>
        <w:rPr>
          <w:rFonts w:hint="eastAsia" w:ascii="仿宋" w:hAnsi="仿宋" w:eastAsia="仿宋" w:cs="仿宋"/>
          <w:color w:val="auto"/>
          <w:sz w:val="24"/>
          <w:szCs w:val="24"/>
        </w:rPr>
        <w:t>签订日期：___年___月___日</w:t>
      </w:r>
    </w:p>
    <w:bookmarkEnd w:id="17"/>
    <w:p>
      <w:pPr>
        <w:pStyle w:val="17"/>
        <w:keepNext w:val="0"/>
        <w:keepLines w:val="0"/>
        <w:pageBreakBefore w:val="0"/>
        <w:widowControl/>
        <w:kinsoku/>
        <w:wordWrap/>
        <w:overflowPunct/>
        <w:topLinePunct w:val="0"/>
        <w:autoSpaceDE/>
        <w:autoSpaceDN/>
        <w:bidi w:val="0"/>
        <w:adjustRightInd/>
        <w:snapToGrid/>
        <w:spacing w:before="75" w:beforeAutospacing="0" w:after="75" w:afterAutospacing="0" w:line="360" w:lineRule="atLeast"/>
        <w:jc w:val="center"/>
        <w:textAlignment w:val="auto"/>
        <w:outlineLvl w:val="0"/>
        <w:rPr>
          <w:rFonts w:hint="eastAsia" w:ascii="仿宋" w:hAnsi="仿宋" w:eastAsia="仿宋" w:cs="仿宋"/>
          <w:b/>
          <w:bCs/>
          <w:color w:val="auto"/>
          <w:kern w:val="44"/>
          <w:sz w:val="32"/>
          <w:szCs w:val="32"/>
          <w:lang w:val="en-US" w:eastAsia="zh-CN" w:bidi="ar-SA"/>
        </w:rPr>
      </w:pPr>
      <w:bookmarkStart w:id="18" w:name="_Toc24181"/>
      <w:r>
        <w:rPr>
          <w:rFonts w:hint="eastAsia" w:ascii="仿宋" w:hAnsi="仿宋" w:eastAsia="仿宋" w:cs="仿宋"/>
          <w:b/>
          <w:bCs/>
          <w:color w:val="auto"/>
          <w:kern w:val="44"/>
          <w:sz w:val="32"/>
          <w:szCs w:val="32"/>
          <w:lang w:val="en-US" w:eastAsia="zh-CN" w:bidi="ar-SA"/>
        </w:rPr>
        <w:t>第五章  首次响应文件格式</w:t>
      </w:r>
      <w:bookmarkEnd w:id="18"/>
    </w:p>
    <w:p>
      <w:pPr>
        <w:pStyle w:val="43"/>
        <w:jc w:val="center"/>
        <w:outlineLvl w:val="2"/>
        <w:rPr>
          <w:rFonts w:hint="eastAsia" w:ascii="仿宋" w:hAnsi="仿宋" w:eastAsia="仿宋" w:cs="仿宋"/>
          <w:color w:val="auto"/>
        </w:rPr>
      </w:pPr>
      <w:r>
        <w:rPr>
          <w:rFonts w:hint="eastAsia" w:ascii="仿宋" w:hAnsi="仿宋" w:eastAsia="仿宋" w:cs="仿宋"/>
          <w:b/>
          <w:color w:val="auto"/>
          <w:sz w:val="28"/>
        </w:rPr>
        <w:t>编制说明</w:t>
      </w:r>
    </w:p>
    <w:p>
      <w:pPr>
        <w:pStyle w:val="43"/>
        <w:keepNext w:val="0"/>
        <w:keepLines w:val="0"/>
        <w:pageBreakBefore w:val="0"/>
        <w:widowControl/>
        <w:kinsoku/>
        <w:wordWrap/>
        <w:overflowPunct/>
        <w:topLinePunct w:val="0"/>
        <w:autoSpaceDE/>
        <w:autoSpaceDN/>
        <w:bidi w:val="0"/>
        <w:adjustRightInd/>
        <w:snapToGrid/>
        <w:spacing w:line="360" w:lineRule="atLeast"/>
        <w:ind w:firstLine="48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本附件所有格式为响应文件的组成部分，供采购人或代理机构编制谈判文件时参考使用。由于新增政策、行业管理规定或者不同项目实际特点需要,则采购人或代理机构可以对有关表格进行必要的补充或修改，以满足实际项目的使用。</w:t>
      </w:r>
    </w:p>
    <w:p>
      <w:pPr>
        <w:pStyle w:val="43"/>
        <w:keepNext w:val="0"/>
        <w:keepLines w:val="0"/>
        <w:pageBreakBefore w:val="0"/>
        <w:widowControl/>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rPr>
      </w:pPr>
    </w:p>
    <w:p>
      <w:pPr>
        <w:pStyle w:val="43"/>
        <w:jc w:val="left"/>
        <w:rPr>
          <w:rFonts w:hint="eastAsia" w:ascii="仿宋" w:hAnsi="仿宋" w:eastAsia="仿宋" w:cs="仿宋"/>
          <w:color w:val="auto"/>
        </w:rPr>
      </w:pPr>
      <w:r>
        <w:rPr>
          <w:rFonts w:hint="eastAsia" w:ascii="仿宋" w:hAnsi="仿宋" w:eastAsia="仿宋" w:cs="仿宋"/>
          <w:color w:val="auto"/>
        </w:rPr>
        <w:t xml:space="preserve"> </w:t>
      </w: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left"/>
        <w:rPr>
          <w:rFonts w:hint="eastAsia" w:ascii="仿宋" w:hAnsi="仿宋" w:eastAsia="仿宋" w:cs="仿宋"/>
          <w:color w:val="auto"/>
        </w:rPr>
      </w:pPr>
    </w:p>
    <w:p>
      <w:pPr>
        <w:pStyle w:val="43"/>
        <w:jc w:val="center"/>
        <w:outlineLvl w:val="1"/>
        <w:rPr>
          <w:rFonts w:hint="eastAsia" w:ascii="仿宋" w:hAnsi="仿宋" w:eastAsia="仿宋" w:cs="仿宋"/>
          <w:b/>
          <w:color w:val="auto"/>
          <w:sz w:val="48"/>
          <w:szCs w:val="48"/>
        </w:rPr>
      </w:pPr>
    </w:p>
    <w:p>
      <w:pPr>
        <w:pStyle w:val="43"/>
        <w:jc w:val="center"/>
        <w:outlineLvl w:val="1"/>
        <w:rPr>
          <w:rFonts w:hint="eastAsia" w:ascii="仿宋" w:hAnsi="仿宋" w:eastAsia="仿宋" w:cs="仿宋"/>
          <w:b/>
          <w:color w:val="auto"/>
          <w:sz w:val="48"/>
          <w:szCs w:val="48"/>
        </w:rPr>
      </w:pPr>
    </w:p>
    <w:p>
      <w:pPr>
        <w:pStyle w:val="43"/>
        <w:jc w:val="center"/>
        <w:outlineLvl w:val="1"/>
        <w:rPr>
          <w:rFonts w:hint="eastAsia" w:ascii="仿宋" w:hAnsi="仿宋" w:eastAsia="仿宋" w:cs="仿宋"/>
          <w:b/>
          <w:color w:val="auto"/>
          <w:sz w:val="48"/>
          <w:szCs w:val="48"/>
        </w:rPr>
      </w:pPr>
    </w:p>
    <w:p>
      <w:pPr>
        <w:pStyle w:val="43"/>
        <w:keepNext w:val="0"/>
        <w:keepLines w:val="0"/>
        <w:pageBreakBefore w:val="0"/>
        <w:widowControl/>
        <w:kinsoku/>
        <w:wordWrap/>
        <w:overflowPunct/>
        <w:topLinePunct w:val="0"/>
        <w:autoSpaceDE/>
        <w:autoSpaceDN/>
        <w:bidi w:val="0"/>
        <w:adjustRightInd/>
        <w:snapToGrid/>
        <w:spacing w:line="360" w:lineRule="atLeast"/>
        <w:jc w:val="center"/>
        <w:textAlignment w:val="auto"/>
        <w:outlineLvl w:val="1"/>
        <w:rPr>
          <w:rFonts w:hint="eastAsia" w:ascii="仿宋" w:hAnsi="仿宋" w:eastAsia="仿宋" w:cs="仿宋"/>
          <w:color w:val="auto"/>
          <w:sz w:val="48"/>
          <w:szCs w:val="48"/>
        </w:rPr>
      </w:pPr>
      <w:r>
        <w:rPr>
          <w:rFonts w:hint="eastAsia" w:ascii="仿宋" w:hAnsi="仿宋" w:eastAsia="仿宋" w:cs="仿宋"/>
          <w:b/>
          <w:color w:val="auto"/>
          <w:sz w:val="48"/>
          <w:szCs w:val="48"/>
        </w:rPr>
        <w:t>福建省政府采购项目竞争性谈判</w:t>
      </w:r>
    </w:p>
    <w:p>
      <w:pPr>
        <w:pStyle w:val="43"/>
        <w:keepNext w:val="0"/>
        <w:keepLines w:val="0"/>
        <w:pageBreakBefore w:val="0"/>
        <w:widowControl/>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color w:val="auto"/>
          <w:sz w:val="48"/>
          <w:szCs w:val="48"/>
        </w:rPr>
      </w:pPr>
      <w:r>
        <w:rPr>
          <w:rFonts w:hint="eastAsia" w:ascii="仿宋" w:hAnsi="仿宋" w:eastAsia="仿宋" w:cs="仿宋"/>
          <w:b/>
          <w:color w:val="auto"/>
          <w:sz w:val="48"/>
          <w:szCs w:val="48"/>
        </w:rPr>
        <w:t>响应文件</w:t>
      </w:r>
    </w:p>
    <w:p>
      <w:pPr>
        <w:pStyle w:val="43"/>
        <w:keepNext w:val="0"/>
        <w:keepLines w:val="0"/>
        <w:pageBreakBefore w:val="0"/>
        <w:widowControl/>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48"/>
          <w:szCs w:val="48"/>
          <w:lang w:eastAsia="zh-CN"/>
        </w:rPr>
      </w:pPr>
      <w:r>
        <w:rPr>
          <w:rFonts w:hint="eastAsia" w:ascii="仿宋" w:hAnsi="仿宋" w:eastAsia="仿宋" w:cs="仿宋"/>
          <w:b/>
          <w:color w:val="auto"/>
          <w:sz w:val="48"/>
          <w:szCs w:val="48"/>
        </w:rPr>
        <w:t>（首次）</w:t>
      </w:r>
    </w:p>
    <w:p>
      <w:pPr>
        <w:pStyle w:val="43"/>
        <w:keepNext w:val="0"/>
        <w:keepLines w:val="0"/>
        <w:pageBreakBefore w:val="0"/>
        <w:widowControl/>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48"/>
          <w:szCs w:val="48"/>
          <w:lang w:eastAsia="zh-CN"/>
        </w:rPr>
      </w:pPr>
    </w:p>
    <w:p>
      <w:pPr>
        <w:pStyle w:val="43"/>
        <w:keepNext w:val="0"/>
        <w:keepLines w:val="0"/>
        <w:pageBreakBefore w:val="0"/>
        <w:widowControl/>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color w:val="auto"/>
          <w:sz w:val="48"/>
          <w:szCs w:val="48"/>
          <w:lang w:eastAsia="zh-CN"/>
        </w:rPr>
      </w:pPr>
    </w:p>
    <w:p>
      <w:pPr>
        <w:pStyle w:val="43"/>
        <w:keepNext w:val="0"/>
        <w:keepLines w:val="0"/>
        <w:pageBreakBefore w:val="0"/>
        <w:widowControl/>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color w:val="auto"/>
        </w:rPr>
      </w:pPr>
    </w:p>
    <w:p>
      <w:pPr>
        <w:pStyle w:val="43"/>
        <w:keepNext w:val="0"/>
        <w:keepLines w:val="0"/>
        <w:pageBreakBefore w:val="0"/>
        <w:widowControl/>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color w:val="auto"/>
        </w:rPr>
      </w:pPr>
    </w:p>
    <w:p>
      <w:pPr>
        <w:pStyle w:val="43"/>
        <w:keepNext w:val="0"/>
        <w:keepLines w:val="0"/>
        <w:pageBreakBefore w:val="0"/>
        <w:widowControl/>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color w:val="auto"/>
          <w:lang w:eastAsia="zh-CN"/>
        </w:rPr>
      </w:pPr>
    </w:p>
    <w:p>
      <w:pPr>
        <w:pStyle w:val="43"/>
        <w:keepNext w:val="0"/>
        <w:keepLines w:val="0"/>
        <w:pageBreakBefore w:val="0"/>
        <w:widowControl/>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color w:val="auto"/>
          <w:lang w:eastAsia="zh-CN"/>
        </w:rPr>
      </w:pPr>
    </w:p>
    <w:p>
      <w:pPr>
        <w:pStyle w:val="43"/>
        <w:keepNext w:val="0"/>
        <w:keepLines w:val="0"/>
        <w:pageBreakBefore w:val="0"/>
        <w:widowControl/>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color w:val="auto"/>
          <w:sz w:val="28"/>
          <w:szCs w:val="28"/>
        </w:rPr>
      </w:pPr>
      <w:r>
        <w:rPr>
          <w:rFonts w:hint="eastAsia" w:ascii="仿宋" w:hAnsi="仿宋" w:eastAsia="仿宋" w:cs="仿宋"/>
          <w:b/>
          <w:color w:val="auto"/>
          <w:sz w:val="28"/>
          <w:szCs w:val="28"/>
        </w:rPr>
        <w:t>项目名称：</w:t>
      </w:r>
    </w:p>
    <w:p>
      <w:pPr>
        <w:pStyle w:val="43"/>
        <w:keepNext w:val="0"/>
        <w:keepLines w:val="0"/>
        <w:pageBreakBefore w:val="0"/>
        <w:widowControl/>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color w:val="auto"/>
          <w:sz w:val="28"/>
          <w:szCs w:val="28"/>
        </w:rPr>
      </w:pPr>
      <w:r>
        <w:rPr>
          <w:rFonts w:hint="eastAsia" w:ascii="仿宋" w:hAnsi="仿宋" w:eastAsia="仿宋" w:cs="仿宋"/>
          <w:b/>
          <w:color w:val="auto"/>
          <w:sz w:val="28"/>
          <w:szCs w:val="28"/>
        </w:rPr>
        <w:t>项目编号：</w:t>
      </w:r>
    </w:p>
    <w:p>
      <w:pPr>
        <w:pStyle w:val="43"/>
        <w:keepNext w:val="0"/>
        <w:keepLines w:val="0"/>
        <w:pageBreakBefore w:val="0"/>
        <w:widowControl/>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8"/>
          <w:szCs w:val="28"/>
          <w:lang w:eastAsia="zh-CN"/>
        </w:rPr>
      </w:pPr>
      <w:r>
        <w:rPr>
          <w:rFonts w:hint="eastAsia" w:ascii="仿宋" w:hAnsi="仿宋" w:eastAsia="仿宋" w:cs="仿宋"/>
          <w:b/>
          <w:color w:val="auto"/>
          <w:sz w:val="28"/>
          <w:szCs w:val="28"/>
        </w:rPr>
        <w:t>采购包:</w:t>
      </w:r>
    </w:p>
    <w:p>
      <w:pPr>
        <w:pStyle w:val="43"/>
        <w:keepNext w:val="0"/>
        <w:keepLines w:val="0"/>
        <w:pageBreakBefore w:val="0"/>
        <w:widowControl/>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8"/>
          <w:szCs w:val="28"/>
          <w:lang w:eastAsia="zh-CN"/>
        </w:rPr>
      </w:pPr>
    </w:p>
    <w:p>
      <w:pPr>
        <w:pStyle w:val="43"/>
        <w:keepNext w:val="0"/>
        <w:keepLines w:val="0"/>
        <w:pageBreakBefore w:val="0"/>
        <w:widowControl/>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color w:val="auto"/>
          <w:sz w:val="28"/>
          <w:szCs w:val="28"/>
        </w:rPr>
      </w:pPr>
    </w:p>
    <w:p>
      <w:pPr>
        <w:pStyle w:val="43"/>
        <w:keepNext w:val="0"/>
        <w:keepLines w:val="0"/>
        <w:pageBreakBefore w:val="0"/>
        <w:widowControl/>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color w:val="auto"/>
          <w:sz w:val="28"/>
          <w:szCs w:val="28"/>
        </w:rPr>
      </w:pPr>
    </w:p>
    <w:p>
      <w:pPr>
        <w:pStyle w:val="43"/>
        <w:keepNext w:val="0"/>
        <w:keepLines w:val="0"/>
        <w:pageBreakBefore w:val="0"/>
        <w:widowControl/>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color w:val="auto"/>
          <w:sz w:val="28"/>
          <w:szCs w:val="28"/>
        </w:rPr>
      </w:pPr>
    </w:p>
    <w:p>
      <w:pPr>
        <w:pStyle w:val="43"/>
        <w:keepNext w:val="0"/>
        <w:keepLines w:val="0"/>
        <w:pageBreakBefore w:val="0"/>
        <w:widowControl/>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color w:val="auto"/>
          <w:sz w:val="28"/>
          <w:szCs w:val="28"/>
          <w:lang w:eastAsia="zh-CN"/>
        </w:rPr>
      </w:pPr>
    </w:p>
    <w:p>
      <w:pPr>
        <w:pStyle w:val="43"/>
        <w:keepNext w:val="0"/>
        <w:keepLines w:val="0"/>
        <w:pageBreakBefore w:val="0"/>
        <w:widowControl/>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color w:val="auto"/>
          <w:sz w:val="28"/>
          <w:szCs w:val="28"/>
          <w:lang w:eastAsia="zh-CN"/>
        </w:rPr>
      </w:pPr>
    </w:p>
    <w:p>
      <w:pPr>
        <w:pStyle w:val="43"/>
        <w:keepNext w:val="0"/>
        <w:keepLines w:val="0"/>
        <w:pageBreakBefore w:val="0"/>
        <w:widowControl/>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color w:val="auto"/>
          <w:sz w:val="28"/>
          <w:szCs w:val="28"/>
          <w:lang w:eastAsia="zh-CN"/>
        </w:rPr>
      </w:pPr>
    </w:p>
    <w:p>
      <w:pPr>
        <w:pStyle w:val="43"/>
        <w:keepNext w:val="0"/>
        <w:keepLines w:val="0"/>
        <w:pageBreakBefore w:val="0"/>
        <w:widowControl/>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color w:val="auto"/>
          <w:sz w:val="28"/>
          <w:szCs w:val="28"/>
        </w:rPr>
      </w:pPr>
      <w:r>
        <w:rPr>
          <w:rFonts w:hint="eastAsia" w:ascii="仿宋" w:hAnsi="仿宋" w:eastAsia="仿宋" w:cs="仿宋"/>
          <w:b/>
          <w:color w:val="auto"/>
          <w:sz w:val="28"/>
          <w:szCs w:val="28"/>
        </w:rPr>
        <w:t>供应商名称：</w:t>
      </w:r>
    </w:p>
    <w:p>
      <w:pPr>
        <w:pStyle w:val="43"/>
        <w:keepNext w:val="0"/>
        <w:keepLines w:val="0"/>
        <w:pageBreakBefore w:val="0"/>
        <w:widowControl/>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color w:val="auto"/>
          <w:sz w:val="28"/>
          <w:szCs w:val="28"/>
        </w:rPr>
      </w:pPr>
      <w:r>
        <w:rPr>
          <w:rFonts w:hint="eastAsia" w:ascii="仿宋" w:hAnsi="仿宋" w:eastAsia="仿宋" w:cs="仿宋"/>
          <w:b/>
          <w:color w:val="auto"/>
          <w:sz w:val="28"/>
          <w:szCs w:val="28"/>
        </w:rPr>
        <w:t>日   期：</w:t>
      </w:r>
    </w:p>
    <w:p>
      <w:pPr>
        <w:pStyle w:val="43"/>
        <w:keepNext w:val="0"/>
        <w:keepLines w:val="0"/>
        <w:pageBreakBefore w:val="0"/>
        <w:widowControl/>
        <w:kinsoku/>
        <w:wordWrap/>
        <w:overflowPunct/>
        <w:topLinePunct w:val="0"/>
        <w:autoSpaceDE/>
        <w:autoSpaceDN/>
        <w:bidi w:val="0"/>
        <w:adjustRightInd/>
        <w:snapToGrid/>
        <w:spacing w:line="360" w:lineRule="atLeast"/>
        <w:jc w:val="left"/>
        <w:textAlignment w:val="auto"/>
        <w:rPr>
          <w:color w:val="auto"/>
        </w:rPr>
      </w:pPr>
    </w:p>
    <w:p>
      <w:pPr>
        <w:pStyle w:val="43"/>
        <w:jc w:val="left"/>
        <w:rPr>
          <w:color w:val="auto"/>
        </w:rPr>
      </w:pPr>
      <w:r>
        <w:rPr>
          <w:color w:val="auto"/>
        </w:rPr>
        <w:t xml:space="preserve"> </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color w:val="auto"/>
          <w:sz w:val="24"/>
          <w:szCs w:val="24"/>
        </w:rPr>
      </w:pPr>
      <w:r>
        <w:rPr>
          <w:rFonts w:hint="eastAsia" w:ascii="仿宋" w:hAnsi="仿宋" w:eastAsia="仿宋" w:cs="仿宋"/>
          <w:b/>
          <w:color w:val="auto"/>
          <w:sz w:val="24"/>
          <w:szCs w:val="24"/>
        </w:rPr>
        <w:t>目录</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附件1：谈判响应声明</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附件2：报价一览表（含详细报价书）</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附件3：资格证明文件</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附件4：谈判保证金凭证</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附件5：技术、服务和商务响应表</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附件6：相关技术、商务、服务响应承诺及资料</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附件7：供应商提交符合政府采购政策的证明材料</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附件8：要求作为响应文件组成部分的其他内容（若有）</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color w:val="auto"/>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color w:val="auto"/>
        </w:rPr>
      </w:pPr>
      <w:r>
        <w:rPr>
          <w:color w:val="auto"/>
        </w:rPr>
        <w:t xml:space="preserve"> </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3"/>
        <w:bidi w:val="0"/>
        <w:jc w:val="center"/>
        <w:rPr>
          <w:rFonts w:hint="eastAsia" w:ascii="仿宋" w:hAnsi="仿宋" w:eastAsia="仿宋" w:cs="仿宋"/>
          <w:color w:val="auto"/>
        </w:rPr>
      </w:pPr>
      <w:bookmarkStart w:id="19" w:name="_Toc2789"/>
      <w:r>
        <w:rPr>
          <w:rFonts w:hint="eastAsia" w:ascii="仿宋" w:hAnsi="仿宋" w:eastAsia="仿宋" w:cs="仿宋"/>
          <w:b/>
          <w:bCs/>
          <w:color w:val="auto"/>
          <w:kern w:val="44"/>
          <w:sz w:val="32"/>
          <w:szCs w:val="32"/>
          <w:lang w:val="en-US" w:eastAsia="zh-CN" w:bidi="ar-SA"/>
        </w:rPr>
        <w:t>附件1 谈判响应声明</w:t>
      </w:r>
      <w:bookmarkEnd w:id="19"/>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致：(采购人或采购代理机构)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1.根据贵方为项目（项目编号）:的采购公告（或采购邀请书），我方签字代表</w:t>
      </w:r>
      <w:r>
        <w:rPr>
          <w:rFonts w:hint="eastAsia" w:ascii="仿宋" w:hAnsi="仿宋" w:eastAsia="仿宋" w:cs="仿宋"/>
          <w:color w:val="auto"/>
          <w:sz w:val="24"/>
          <w:szCs w:val="24"/>
          <w:u w:val="single"/>
        </w:rPr>
        <w:t>（全名、职务）</w:t>
      </w:r>
      <w:r>
        <w:rPr>
          <w:rFonts w:hint="eastAsia" w:ascii="仿宋" w:hAnsi="仿宋" w:eastAsia="仿宋" w:cs="仿宋"/>
          <w:color w:val="auto"/>
          <w:sz w:val="24"/>
          <w:szCs w:val="24"/>
        </w:rPr>
        <w:t>经正式授权并代表的供应商</w:t>
      </w:r>
      <w:r>
        <w:rPr>
          <w:rFonts w:hint="eastAsia" w:ascii="仿宋" w:hAnsi="仿宋" w:eastAsia="仿宋" w:cs="仿宋"/>
          <w:color w:val="auto"/>
          <w:sz w:val="24"/>
          <w:szCs w:val="24"/>
          <w:u w:val="single"/>
        </w:rPr>
        <w:t>（供应商名称、地址）</w:t>
      </w:r>
      <w:r>
        <w:rPr>
          <w:rFonts w:hint="eastAsia" w:ascii="仿宋" w:hAnsi="仿宋" w:eastAsia="仿宋" w:cs="仿宋"/>
          <w:color w:val="auto"/>
          <w:sz w:val="24"/>
          <w:szCs w:val="24"/>
        </w:rPr>
        <w:t>提交包含下述内容的首次响应纸质文件正本</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套，副本</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套及电子文档</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套。</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（1）谈判响应声明</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（2）报价一览表（含详细报价书）</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（3）资格证明文件</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（4）谈判保证金凭证</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（5）技术、服务和商务响应表</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（6）相关技术、商务、服务响应承诺及资料</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（7）供应商提交符合政府采购政策的证明材料</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（8）按照谈判文件规定，要求作为响应文件组成部分的其他内容（若有）</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2.据此函，我方宣布响应承诺如下：</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我方已详细审查全部竞争性谈判文件，包括澄清、修改、补充或更正文件（如有的话）和有关附件，我方完全熟悉和理解其中的要求、条款和条件，且无任何异议。除了我方已在技术和商务偏离表中列出的负偏差和不响应外，我方承诺将按竞争性谈判文件的各项规定履行合同责任和义务。竞争性谈判文件及其附件资料如果有涉及应当保密的内容，我方将严格遵守规定，不将应当保密的内容泄密给第三方或另作它用，如有违反，采购人可依法追究我方的法律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2.2一旦我方获得成交，我方将按照竞争性谈判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谈判文件的要求，并在规定的期限内与采购人签订合同。</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2.3我方承诺：递交的所有响应文件（包括首次响应文件、补充澄清、最后报价等响应文件）在竞争性谈判须知前附表第3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2.4我方已经按照谈判文件要求提交谈判保证金。我方如果发生任何竞争性谈判文件中所述不予退还谈判保证金的情况，则我方的谈判保证金将被贵方不予退还，我方对此无异议。谈判保证金或保函有效期与响应文件有效期保持一致。</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2.5我方愿意向贵方提供任何与本项目谈判采购有关的数据或资料。若贵方需要，我方愿意提供我方作出的一切承诺的证明材料。</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2.6我方联系方式、电子信箱和通信地址等信息如下，用于接受贵方发出的与本次谈判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2.7我方承诺响应文件所提供的全部资料真实可靠，并接受谈判小组、采购人、采购代理机构、监管部门进一步审查其中任何资料真实性的要求</w:t>
      </w:r>
    </w:p>
    <w:p>
      <w:pPr>
        <w:keepNext w:val="0"/>
        <w:keepLines w:val="0"/>
        <w:pageBreakBefore w:val="0"/>
        <w:kinsoku/>
        <w:wordWrap/>
        <w:overflowPunct/>
        <w:topLinePunct w:val="0"/>
        <w:autoSpaceDE/>
        <w:autoSpaceDN/>
        <w:bidi w:val="0"/>
        <w:adjustRightInd/>
        <w:snapToGrid/>
        <w:spacing w:line="360" w:lineRule="atLeast"/>
        <w:ind w:firstLine="480" w:firstLineChars="200"/>
        <w:textAlignment w:val="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rPr>
        <w:t>通信地址:</w:t>
      </w:r>
      <w:r>
        <w:rPr>
          <w:rFonts w:hint="eastAsia" w:ascii="仿宋" w:hAnsi="仿宋" w:eastAsia="仿宋" w:cs="仿宋"/>
          <w:color w:val="auto"/>
          <w:sz w:val="24"/>
          <w:szCs w:val="24"/>
          <w:u w:val="single"/>
          <w:lang w:val="en-US" w:eastAsia="zh-CN"/>
        </w:rPr>
        <w:t xml:space="preserve">    </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邮编：</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传真号：</w:t>
      </w:r>
      <w:r>
        <w:rPr>
          <w:rFonts w:hint="eastAsia" w:ascii="仿宋" w:hAnsi="仿宋" w:eastAsia="仿宋" w:cs="仿宋"/>
          <w:color w:val="auto"/>
          <w:sz w:val="24"/>
          <w:szCs w:val="24"/>
          <w:u w:val="single"/>
          <w:lang w:val="en-US" w:eastAsia="zh-CN"/>
        </w:rPr>
        <w:t xml:space="preserve">    </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联系电话</w:t>
      </w:r>
      <w:r>
        <w:rPr>
          <w:rFonts w:hint="eastAsia" w:ascii="仿宋" w:hAnsi="仿宋" w:eastAsia="仿宋" w:cs="仿宋"/>
          <w:color w:val="auto"/>
          <w:sz w:val="24"/>
          <w:szCs w:val="24"/>
          <w:u w:val="single"/>
        </w:rPr>
        <w:t>（固定电话和移动电话）</w:t>
      </w:r>
      <w:r>
        <w:rPr>
          <w:rFonts w:hint="eastAsia" w:ascii="仿宋" w:hAnsi="仿宋" w:eastAsia="仿宋" w:cs="仿宋"/>
          <w:color w:val="auto"/>
          <w:sz w:val="24"/>
          <w:szCs w:val="24"/>
        </w:rPr>
        <w:t>：</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w:t>
      </w:r>
      <w:r>
        <w:rPr>
          <w:rFonts w:hint="eastAsia" w:ascii="仿宋" w:hAnsi="仿宋" w:eastAsia="仿宋" w:cs="仿宋"/>
          <w:color w:val="auto"/>
          <w:sz w:val="24"/>
          <w:szCs w:val="24"/>
          <w:u w:val="single"/>
        </w:rPr>
        <w:t>（签字）</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供应商代表电子信箱：</w:t>
      </w:r>
      <w:r>
        <w:rPr>
          <w:rFonts w:hint="eastAsia" w:ascii="仿宋" w:hAnsi="仿宋" w:eastAsia="仿宋" w:cs="仿宋"/>
          <w:color w:val="auto"/>
          <w:sz w:val="24"/>
          <w:szCs w:val="24"/>
          <w:u w:val="single"/>
          <w:lang w:val="en-US" w:eastAsia="zh-CN"/>
        </w:rPr>
        <w:t xml:space="preserve">    </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w:t>
      </w:r>
      <w:r>
        <w:rPr>
          <w:rFonts w:hint="eastAsia" w:ascii="仿宋" w:hAnsi="仿宋" w:eastAsia="仿宋" w:cs="仿宋"/>
          <w:color w:val="auto"/>
          <w:sz w:val="24"/>
          <w:szCs w:val="24"/>
          <w:u w:val="single"/>
        </w:rPr>
        <w:t>（全称并加盖公章）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日</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3"/>
        <w:bidi w:val="0"/>
        <w:jc w:val="center"/>
        <w:rPr>
          <w:rFonts w:hint="eastAsia" w:ascii="仿宋" w:hAnsi="仿宋" w:eastAsia="仿宋" w:cs="仿宋"/>
          <w:color w:val="auto"/>
          <w:sz w:val="36"/>
          <w:szCs w:val="36"/>
        </w:rPr>
      </w:pPr>
      <w:bookmarkStart w:id="20" w:name="_Toc21661"/>
      <w:r>
        <w:rPr>
          <w:rFonts w:hint="eastAsia" w:ascii="仿宋" w:hAnsi="仿宋" w:eastAsia="仿宋" w:cs="仿宋"/>
          <w:color w:val="auto"/>
          <w:sz w:val="36"/>
          <w:szCs w:val="36"/>
          <w:lang w:val="en-US" w:eastAsia="zh-CN"/>
        </w:rPr>
        <w:t>附件2 报价一览表</w:t>
      </w:r>
      <w:bookmarkEnd w:id="20"/>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供应商名称：</w:t>
      </w:r>
      <w:r>
        <w:rPr>
          <w:rFonts w:hint="eastAsia" w:ascii="仿宋" w:hAnsi="仿宋" w:eastAsia="仿宋" w:cs="仿宋"/>
          <w:color w:val="auto"/>
          <w:sz w:val="24"/>
          <w:szCs w:val="24"/>
          <w:u w:val="single"/>
        </w:rPr>
        <w:t>（全称加盖单位公章）</w:t>
      </w:r>
      <w:r>
        <w:rPr>
          <w:rFonts w:hint="eastAsia" w:ascii="仿宋" w:hAnsi="仿宋" w:eastAsia="仿宋" w:cs="仿宋"/>
          <w:color w:val="auto"/>
          <w:sz w:val="24"/>
          <w:szCs w:val="24"/>
        </w:rPr>
        <w:t>项目编号∶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货币单位：元人民币</w:t>
      </w:r>
    </w:p>
    <w:tbl>
      <w:tblPr>
        <w:tblStyle w:val="2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36"/>
        <w:gridCol w:w="1519"/>
        <w:gridCol w:w="2026"/>
        <w:gridCol w:w="2026"/>
        <w:gridCol w:w="20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vAlign w:val="center"/>
          </w:tcPr>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采购包</w:t>
            </w:r>
          </w:p>
        </w:tc>
        <w:tc>
          <w:tcPr>
            <w:tcW w:w="1519" w:type="dxa"/>
            <w:vAlign w:val="center"/>
          </w:tcPr>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首次报价</w:t>
            </w:r>
          </w:p>
        </w:tc>
        <w:tc>
          <w:tcPr>
            <w:tcW w:w="2026" w:type="dxa"/>
            <w:vAlign w:val="center"/>
          </w:tcPr>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交货期/工期/项目完成时间/服务时间</w:t>
            </w:r>
          </w:p>
        </w:tc>
        <w:tc>
          <w:tcPr>
            <w:tcW w:w="2026" w:type="dxa"/>
            <w:vAlign w:val="center"/>
          </w:tcPr>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谈判保证金</w:t>
            </w:r>
          </w:p>
        </w:tc>
        <w:tc>
          <w:tcPr>
            <w:tcW w:w="2026" w:type="dxa"/>
            <w:vAlign w:val="center"/>
          </w:tcPr>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51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51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51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bl>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备注：详细报价书另纸详列，格式自拟。</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w:t>
      </w:r>
      <w:r>
        <w:rPr>
          <w:rFonts w:hint="eastAsia" w:ascii="仿宋" w:hAnsi="仿宋" w:eastAsia="仿宋" w:cs="仿宋"/>
          <w:color w:val="auto"/>
          <w:sz w:val="24"/>
          <w:szCs w:val="24"/>
          <w:u w:val="single"/>
        </w:rPr>
        <w:t>（签字）</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3"/>
        <w:bidi w:val="0"/>
        <w:jc w:val="center"/>
        <w:rPr>
          <w:rFonts w:hint="eastAsia" w:ascii="仿宋" w:hAnsi="仿宋" w:eastAsia="仿宋" w:cs="仿宋"/>
          <w:color w:val="auto"/>
          <w:sz w:val="36"/>
          <w:szCs w:val="36"/>
          <w:lang w:val="en-US" w:eastAsia="zh-CN"/>
        </w:rPr>
      </w:pPr>
      <w:bookmarkStart w:id="21" w:name="_Toc4171"/>
      <w:r>
        <w:rPr>
          <w:rFonts w:hint="eastAsia" w:ascii="仿宋" w:hAnsi="仿宋" w:eastAsia="仿宋" w:cs="仿宋"/>
          <w:color w:val="auto"/>
          <w:sz w:val="36"/>
          <w:szCs w:val="36"/>
          <w:lang w:val="en-US" w:eastAsia="zh-CN"/>
        </w:rPr>
        <w:t>附件2-1 详细报价书</w:t>
      </w:r>
      <w:bookmarkEnd w:id="21"/>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说明：</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各供应商应根据竞争性谈判文件的要求，在响应文件中提出为完成本项目相应采购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为完成相应采购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对于不能详细列明采购标的的技术、服务要求的谈判采购项目或者如优惠率谈判、单价谈判等特殊类型的谈判采购项目，由供应商根据谈判文件的具体规定和项目特点提交详细报价书，采购人或采购代理机构如果对详细报价书有统一格式要求的，可以进行规定或附表。如果没有特别要求的，则格式由供应商根据项目特点自行拟制。</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w:t>
      </w:r>
      <w:r>
        <w:rPr>
          <w:rFonts w:hint="eastAsia" w:ascii="仿宋" w:hAnsi="仿宋" w:eastAsia="仿宋" w:cs="仿宋"/>
          <w:color w:val="auto"/>
          <w:sz w:val="24"/>
          <w:szCs w:val="24"/>
          <w:u w:val="single"/>
        </w:rPr>
        <w:t>（签字）</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供应商名称：</w:t>
      </w:r>
      <w:r>
        <w:rPr>
          <w:rFonts w:hint="eastAsia" w:ascii="仿宋" w:hAnsi="仿宋" w:eastAsia="仿宋" w:cs="仿宋"/>
          <w:color w:val="auto"/>
          <w:sz w:val="24"/>
          <w:szCs w:val="24"/>
          <w:u w:val="single"/>
        </w:rPr>
        <w:t>（全称并加盖公章）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3"/>
        <w:bidi w:val="0"/>
        <w:jc w:val="center"/>
        <w:rPr>
          <w:rFonts w:hint="eastAsia" w:ascii="仿宋" w:hAnsi="仿宋" w:eastAsia="仿宋" w:cs="仿宋"/>
          <w:color w:val="auto"/>
          <w:sz w:val="36"/>
          <w:szCs w:val="36"/>
          <w:lang w:val="en-US" w:eastAsia="zh-CN"/>
        </w:rPr>
      </w:pPr>
      <w:bookmarkStart w:id="22" w:name="_Toc16623"/>
      <w:r>
        <w:rPr>
          <w:rFonts w:hint="eastAsia" w:ascii="仿宋" w:hAnsi="仿宋" w:eastAsia="仿宋" w:cs="仿宋"/>
          <w:color w:val="auto"/>
          <w:sz w:val="36"/>
          <w:szCs w:val="36"/>
          <w:lang w:val="en-US" w:eastAsia="zh-CN"/>
        </w:rPr>
        <w:t>附件3  资格证明文件</w:t>
      </w:r>
      <w:bookmarkEnd w:id="22"/>
    </w:p>
    <w:p>
      <w:pPr>
        <w:pStyle w:val="3"/>
        <w:bidi w:val="0"/>
        <w:jc w:val="center"/>
        <w:rPr>
          <w:rFonts w:hint="eastAsia" w:ascii="仿宋" w:hAnsi="仿宋" w:eastAsia="仿宋" w:cs="仿宋"/>
          <w:color w:val="auto"/>
          <w:sz w:val="36"/>
          <w:szCs w:val="36"/>
          <w:lang w:val="en-US" w:eastAsia="zh-CN"/>
        </w:rPr>
      </w:pPr>
      <w:bookmarkStart w:id="23" w:name="_Toc14697"/>
      <w:r>
        <w:rPr>
          <w:rFonts w:hint="eastAsia" w:ascii="仿宋" w:hAnsi="仿宋" w:eastAsia="仿宋" w:cs="仿宋"/>
          <w:color w:val="auto"/>
          <w:sz w:val="36"/>
          <w:szCs w:val="36"/>
          <w:lang w:val="en-US" w:eastAsia="zh-CN"/>
        </w:rPr>
        <w:t>附件3-1 参加竞争性谈判的声明函</w:t>
      </w:r>
      <w:bookmarkEnd w:id="23"/>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(采购人或采购代理机构)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1、关于贵方</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项目（项目编号: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的采购公告（或采购邀请），本签字人代表供应商参加竞争性谈判，我方提供竞争性谈判文件中规定的相应资料和说明。本签字人确认响应文件中所有提交的文件、声明或资料（包括但不限于资格证明文件）是真实的、合法的、准确的、有效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2、供应商的基本概况：</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2.1供应商单位名称：</w:t>
      </w:r>
      <w:r>
        <w:rPr>
          <w:rFonts w:hint="eastAsia" w:ascii="仿宋" w:hAnsi="仿宋" w:eastAsia="仿宋" w:cs="仿宋"/>
          <w:color w:val="auto"/>
          <w:sz w:val="24"/>
          <w:szCs w:val="24"/>
          <w:u w:val="single"/>
        </w:rPr>
        <w:t xml:space="preserve">           </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2.2注册地址：</w:t>
      </w:r>
      <w:r>
        <w:rPr>
          <w:rFonts w:hint="eastAsia" w:ascii="仿宋" w:hAnsi="仿宋" w:eastAsia="仿宋" w:cs="仿宋"/>
          <w:color w:val="auto"/>
          <w:sz w:val="24"/>
          <w:szCs w:val="24"/>
          <w:u w:val="single"/>
        </w:rPr>
        <w:t xml:space="preserve">           </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2.3单位负责人姓名：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备注：“单位负责人”指单位法定代表人（供应商为法人的）或法律、法规规定代表单位行使职权的主要负责人（供应商为其他组织的）。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对于接受联合体形式的谈判且供应商是联合体的，则联合体各成员都应当提交本资格证明文件。</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w:t>
      </w:r>
      <w:r>
        <w:rPr>
          <w:rFonts w:hint="eastAsia" w:ascii="仿宋" w:hAnsi="仿宋" w:eastAsia="仿宋" w:cs="仿宋"/>
          <w:color w:val="auto"/>
          <w:sz w:val="24"/>
          <w:szCs w:val="24"/>
          <w:u w:val="single"/>
        </w:rPr>
        <w:t>(签字)</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供应商名称：</w:t>
      </w:r>
      <w:r>
        <w:rPr>
          <w:rFonts w:hint="eastAsia" w:ascii="仿宋" w:hAnsi="仿宋" w:eastAsia="仿宋" w:cs="仿宋"/>
          <w:color w:val="auto"/>
          <w:sz w:val="24"/>
          <w:szCs w:val="24"/>
          <w:u w:val="single"/>
        </w:rPr>
        <w:t>（全称并加盖公章）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3"/>
        <w:bidi w:val="0"/>
        <w:jc w:val="center"/>
        <w:rPr>
          <w:rFonts w:hint="eastAsia"/>
          <w:color w:val="auto"/>
        </w:rPr>
      </w:pPr>
      <w:bookmarkStart w:id="24" w:name="_Toc20604"/>
      <w:r>
        <w:rPr>
          <w:rFonts w:hint="eastAsia" w:ascii="仿宋" w:hAnsi="仿宋" w:eastAsia="仿宋" w:cs="仿宋"/>
          <w:color w:val="auto"/>
          <w:sz w:val="36"/>
          <w:szCs w:val="36"/>
          <w:lang w:val="en-US" w:eastAsia="zh-CN"/>
        </w:rPr>
        <w:t>附件3-2 供应商的资格声明</w:t>
      </w:r>
      <w:bookmarkEnd w:id="24"/>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(采购人或采购代理机构)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1、我方已知晓竞争性谈判文件要求并认真审核自身情况，在此郑重声明，我方具备并满足下列各项条款的规定。本声明如有虚假或不实之处，我方将失去合格供应商资格且我方的谈判保证金将不予退还。</w:t>
      </w:r>
    </w:p>
    <w:tbl>
      <w:tblPr>
        <w:tblStyle w:val="2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209"/>
        <w:gridCol w:w="309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0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《中华人民共和国政府采购法》第二十二条对供应商的要求</w:t>
            </w:r>
          </w:p>
        </w:tc>
        <w:tc>
          <w:tcPr>
            <w:tcW w:w="3097"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供应商对是否符合要求做如实声明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0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（1）具有独立承担民事责任的能力</w:t>
            </w:r>
          </w:p>
        </w:tc>
        <w:tc>
          <w:tcPr>
            <w:tcW w:w="3097"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0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（2）具有良好的商业信誉和健全的财务会计制度</w:t>
            </w:r>
          </w:p>
        </w:tc>
        <w:tc>
          <w:tcPr>
            <w:tcW w:w="3097"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0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（3）具有履行合同所必需的设备和专业技术能力</w:t>
            </w:r>
          </w:p>
        </w:tc>
        <w:tc>
          <w:tcPr>
            <w:tcW w:w="3097"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0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（4）有依法缴纳税收和社会保障资金的良好记录</w:t>
            </w:r>
          </w:p>
        </w:tc>
        <w:tc>
          <w:tcPr>
            <w:tcW w:w="3097"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0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（5）参加政府采购活动前三年内，在经营活动中没有重大违法记录</w:t>
            </w:r>
          </w:p>
        </w:tc>
        <w:tc>
          <w:tcPr>
            <w:tcW w:w="3097"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0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（6）法律、行政法规规定的其他条件。</w:t>
            </w:r>
          </w:p>
        </w:tc>
        <w:tc>
          <w:tcPr>
            <w:tcW w:w="3097"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0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谈判文件对合格供应商的一般规定</w:t>
            </w:r>
          </w:p>
        </w:tc>
        <w:tc>
          <w:tcPr>
            <w:tcW w:w="3097"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供应商对是否违反一般规定做如实声明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0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供应商除了应遵守政府采购法及实施条例、政府采购非招标采购方式管理办法及财政部、福建省财政厅有关政府采购文件的规定外，还应遵守有关法律、法规和规章的强制性规定。</w:t>
            </w:r>
          </w:p>
        </w:tc>
        <w:tc>
          <w:tcPr>
            <w:tcW w:w="3097"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0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为采购项目提供整体设计、规范编制或项目管理、监理、检测等服务的供应商，不得再参加该采购项目除整体设计、规范编制和项目管理、监理、检测等服务之外的其他采购活动。</w:t>
            </w:r>
          </w:p>
        </w:tc>
        <w:tc>
          <w:tcPr>
            <w:tcW w:w="3097"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20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列入失信被执行人、重大税收违法案件当事人名单、政府采购严重违法失信行为记录名单的供应商，不得参加政府采购活动。</w:t>
            </w:r>
          </w:p>
        </w:tc>
        <w:tc>
          <w:tcPr>
            <w:tcW w:w="3097"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bl>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2、我方对上述声明的真实性、合法性、准确性、有效性负责，并愿意根据谈判文件和谈判过程中贵方要求提供全部现有资料、数据、文件等予以证实。</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备注：对于接受联合体形式的谈判且供应商是联合体的，则联合体各成员都应当提交本资格证明文件。</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w:t>
      </w:r>
      <w:r>
        <w:rPr>
          <w:rFonts w:hint="eastAsia" w:ascii="仿宋" w:hAnsi="仿宋" w:eastAsia="仿宋" w:cs="仿宋"/>
          <w:color w:val="auto"/>
          <w:sz w:val="24"/>
          <w:szCs w:val="24"/>
          <w:u w:val="single"/>
        </w:rPr>
        <w:t>(签字)</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供应商名称：</w:t>
      </w:r>
      <w:r>
        <w:rPr>
          <w:rFonts w:hint="eastAsia" w:ascii="仿宋" w:hAnsi="仿宋" w:eastAsia="仿宋" w:cs="仿宋"/>
          <w:color w:val="auto"/>
          <w:sz w:val="24"/>
          <w:szCs w:val="24"/>
          <w:u w:val="single"/>
        </w:rPr>
        <w:t>（全称并加盖公章）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3"/>
        <w:bidi w:val="0"/>
        <w:jc w:val="center"/>
        <w:rPr>
          <w:rFonts w:hint="eastAsia" w:ascii="仿宋" w:hAnsi="仿宋" w:eastAsia="仿宋" w:cs="仿宋"/>
          <w:color w:val="auto"/>
          <w:sz w:val="36"/>
          <w:szCs w:val="36"/>
          <w:lang w:val="en-US" w:eastAsia="zh-CN"/>
        </w:rPr>
      </w:pPr>
      <w:bookmarkStart w:id="25" w:name="_Toc27306"/>
      <w:r>
        <w:rPr>
          <w:rFonts w:hint="eastAsia" w:ascii="仿宋" w:hAnsi="仿宋" w:eastAsia="仿宋" w:cs="仿宋"/>
          <w:color w:val="auto"/>
          <w:sz w:val="36"/>
          <w:szCs w:val="36"/>
          <w:lang w:val="en-US" w:eastAsia="zh-CN"/>
        </w:rPr>
        <w:t>附件3-3 单位负责人授权书</w:t>
      </w:r>
      <w:bookmarkEnd w:id="25"/>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(采购人或采购代理机构)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我方的单位负责人</w:t>
      </w:r>
      <w:r>
        <w:rPr>
          <w:rFonts w:hint="eastAsia" w:ascii="仿宋" w:hAnsi="仿宋" w:eastAsia="仿宋" w:cs="仿宋"/>
          <w:color w:val="auto"/>
          <w:sz w:val="24"/>
          <w:szCs w:val="24"/>
          <w:u w:val="single"/>
        </w:rPr>
        <w:t>（填写“单位负责人全名”）</w:t>
      </w:r>
      <w:r>
        <w:rPr>
          <w:rFonts w:hint="eastAsia" w:ascii="仿宋" w:hAnsi="仿宋" w:eastAsia="仿宋" w:cs="仿宋"/>
          <w:color w:val="auto"/>
          <w:sz w:val="24"/>
          <w:szCs w:val="24"/>
        </w:rPr>
        <w:t>授权</w:t>
      </w:r>
      <w:r>
        <w:rPr>
          <w:rFonts w:hint="eastAsia" w:ascii="仿宋" w:hAnsi="仿宋" w:eastAsia="仿宋" w:cs="仿宋"/>
          <w:color w:val="auto"/>
          <w:sz w:val="24"/>
          <w:szCs w:val="24"/>
          <w:u w:val="single"/>
        </w:rPr>
        <w:t>（填写“供应商代表全名”）</w:t>
      </w:r>
      <w:r>
        <w:rPr>
          <w:rFonts w:hint="eastAsia" w:ascii="仿宋" w:hAnsi="仿宋" w:eastAsia="仿宋" w:cs="仿宋"/>
          <w:color w:val="auto"/>
          <w:sz w:val="24"/>
          <w:szCs w:val="24"/>
        </w:rPr>
        <w:t>为我方的供应商代表，代表我方参加</w:t>
      </w:r>
      <w:r>
        <w:rPr>
          <w:rFonts w:hint="eastAsia" w:ascii="仿宋" w:hAnsi="仿宋" w:eastAsia="仿宋" w:cs="仿宋"/>
          <w:color w:val="auto"/>
          <w:sz w:val="24"/>
          <w:szCs w:val="24"/>
          <w:u w:val="single"/>
        </w:rPr>
        <w:t>（填写“项目名称”）</w:t>
      </w:r>
      <w:r>
        <w:rPr>
          <w:rFonts w:hint="eastAsia" w:ascii="仿宋" w:hAnsi="仿宋" w:eastAsia="仿宋" w:cs="仿宋"/>
          <w:color w:val="auto"/>
          <w:sz w:val="24"/>
          <w:szCs w:val="24"/>
        </w:rPr>
        <w:t>项目（项目编号：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供应商代表无转委权。特此授权。</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（以下无正文）</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单位负责人：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身份证号：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手机：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rPr>
        <w:t>供应商代表：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身份证号：</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rPr>
        <w:t>手机：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u w:val="single"/>
          <w:lang w:val="en-US"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授权方</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w:t>
      </w:r>
      <w:r>
        <w:rPr>
          <w:rFonts w:hint="eastAsia" w:ascii="仿宋" w:hAnsi="仿宋" w:eastAsia="仿宋" w:cs="仿宋"/>
          <w:color w:val="auto"/>
          <w:sz w:val="24"/>
          <w:szCs w:val="24"/>
          <w:u w:val="single"/>
        </w:rPr>
        <w:t>（全称并加盖单位公章）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u w:val="single"/>
          <w:lang w:eastAsia="zh-CN"/>
        </w:rPr>
      </w:pPr>
      <w:r>
        <w:rPr>
          <w:rFonts w:hint="eastAsia" w:ascii="仿宋" w:hAnsi="仿宋" w:eastAsia="仿宋" w:cs="仿宋"/>
          <w:color w:val="auto"/>
          <w:sz w:val="24"/>
          <w:szCs w:val="24"/>
        </w:rPr>
        <w:t>单位负责人签字或盖章：</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u w:val="single"/>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接受授权方</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供应商代表签字：</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签署日期：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附：单位负责人、供应商代表的身份证正反面复印件</w:t>
      </w:r>
    </w:p>
    <w:tbl>
      <w:tblPr>
        <w:tblStyle w:val="2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要求：真实、有效、清晰</w:t>
            </w:r>
          </w:p>
        </w:tc>
      </w:tr>
    </w:tbl>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※注意：</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1、企业（银行、保险、石油石化、电力、电信等行业除外）、事业单位和社会团体法人的“单位负责人”指法定代表人，即与实际提交的“营业执照等证明文件”载明的一致。</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银行、保险、石油石化、电力、电信等行业：以法人身份参加谈判的，“单位负责人”指法定代表人，即与实际提交的“营业执照等证明文件”载明的一致；以非法人身份参加谈判的，“单位负责人”指代表单位行使职权的主要负责人，即与实际提交的“营业执照等证明文件”载明的一致。</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4、对于接受联合体形式的谈判且供应商是联合体的，则只需要联合体的牵头方提交本授权书，在纸质响应文件正本中的本授权书应为原件。</w:t>
      </w:r>
    </w:p>
    <w:p>
      <w:pPr>
        <w:pStyle w:val="3"/>
        <w:bidi w:val="0"/>
        <w:jc w:val="center"/>
        <w:rPr>
          <w:rFonts w:hint="eastAsia" w:ascii="仿宋" w:hAnsi="仿宋" w:eastAsia="仿宋" w:cs="仿宋"/>
          <w:color w:val="auto"/>
          <w:sz w:val="36"/>
          <w:szCs w:val="36"/>
          <w:lang w:val="en-US" w:eastAsia="zh-CN"/>
        </w:rPr>
      </w:pPr>
      <w:bookmarkStart w:id="26" w:name="_Toc6944"/>
      <w:r>
        <w:rPr>
          <w:rFonts w:hint="eastAsia" w:ascii="仿宋" w:hAnsi="仿宋" w:eastAsia="仿宋" w:cs="仿宋"/>
          <w:color w:val="auto"/>
          <w:sz w:val="36"/>
          <w:szCs w:val="36"/>
          <w:lang w:val="en-US" w:eastAsia="zh-CN"/>
        </w:rPr>
        <w:t>附件3-4 营业执照等证明文件</w:t>
      </w:r>
      <w:bookmarkEnd w:id="26"/>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(采购人或采购代理机构)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（）供应商为法人（包括企业、事业单位和社会团体）的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现附上由</w:t>
      </w:r>
      <w:r>
        <w:rPr>
          <w:rFonts w:hint="eastAsia" w:ascii="仿宋" w:hAnsi="仿宋" w:eastAsia="仿宋" w:cs="仿宋"/>
          <w:color w:val="auto"/>
          <w:sz w:val="24"/>
          <w:szCs w:val="24"/>
          <w:u w:val="single"/>
        </w:rPr>
        <w:t>（填写“签发机关全称”）</w:t>
      </w:r>
      <w:r>
        <w:rPr>
          <w:rFonts w:hint="eastAsia" w:ascii="仿宋" w:hAnsi="仿宋" w:eastAsia="仿宋" w:cs="仿宋"/>
          <w:color w:val="auto"/>
          <w:sz w:val="24"/>
          <w:szCs w:val="24"/>
        </w:rPr>
        <w:t>签发的我方统一社会信用代码</w:t>
      </w:r>
      <w:r>
        <w:rPr>
          <w:rFonts w:hint="eastAsia" w:ascii="仿宋" w:hAnsi="仿宋" w:eastAsia="仿宋" w:cs="仿宋"/>
          <w:color w:val="auto"/>
          <w:sz w:val="24"/>
          <w:szCs w:val="24"/>
          <w:u w:val="single"/>
        </w:rPr>
        <w:t>（请填写法人的具体证照名称）</w:t>
      </w:r>
      <w:r>
        <w:rPr>
          <w:rFonts w:hint="eastAsia" w:ascii="仿宋" w:hAnsi="仿宋" w:eastAsia="仿宋" w:cs="仿宋"/>
          <w:color w:val="auto"/>
          <w:sz w:val="24"/>
          <w:szCs w:val="24"/>
        </w:rPr>
        <w:t>复印件，该证明材料真实有效，否则我方负全部责任。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（）供应商为非法人（包括其他组织、自然人）的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□现附上由</w:t>
      </w:r>
      <w:r>
        <w:rPr>
          <w:rFonts w:hint="eastAsia" w:ascii="仿宋" w:hAnsi="仿宋" w:eastAsia="仿宋" w:cs="仿宋"/>
          <w:color w:val="auto"/>
          <w:sz w:val="24"/>
          <w:szCs w:val="24"/>
          <w:u w:val="single"/>
        </w:rPr>
        <w:t>（填写“签发机关全称”）</w:t>
      </w:r>
      <w:r>
        <w:rPr>
          <w:rFonts w:hint="eastAsia" w:ascii="仿宋" w:hAnsi="仿宋" w:eastAsia="仿宋" w:cs="仿宋"/>
          <w:color w:val="auto"/>
          <w:sz w:val="24"/>
          <w:szCs w:val="24"/>
        </w:rPr>
        <w:t>签发的我方统一社会信用代码</w:t>
      </w:r>
      <w:r>
        <w:rPr>
          <w:rFonts w:hint="eastAsia" w:ascii="仿宋" w:hAnsi="仿宋" w:eastAsia="仿宋" w:cs="仿宋"/>
          <w:color w:val="auto"/>
          <w:sz w:val="24"/>
          <w:szCs w:val="24"/>
          <w:u w:val="single"/>
        </w:rPr>
        <w:t>（请填写非自然人的非法人的具体证照名称）</w:t>
      </w:r>
      <w:r>
        <w:rPr>
          <w:rFonts w:hint="eastAsia" w:ascii="仿宋" w:hAnsi="仿宋" w:eastAsia="仿宋" w:cs="仿宋"/>
          <w:color w:val="auto"/>
          <w:sz w:val="24"/>
          <w:szCs w:val="24"/>
        </w:rPr>
        <w:t>复印件，该证明材料真实有效，否则我方负全部责任。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□现附上由</w:t>
      </w:r>
      <w:r>
        <w:rPr>
          <w:rFonts w:hint="eastAsia" w:ascii="仿宋" w:hAnsi="仿宋" w:eastAsia="仿宋" w:cs="仿宋"/>
          <w:color w:val="auto"/>
          <w:sz w:val="24"/>
          <w:szCs w:val="24"/>
          <w:u w:val="single"/>
        </w:rPr>
        <w:t>（填写“签发机关全称”）</w:t>
      </w:r>
      <w:r>
        <w:rPr>
          <w:rFonts w:hint="eastAsia" w:ascii="仿宋" w:hAnsi="仿宋" w:eastAsia="仿宋" w:cs="仿宋"/>
          <w:color w:val="auto"/>
          <w:sz w:val="24"/>
          <w:szCs w:val="24"/>
        </w:rPr>
        <w:t>签发的我方统一社会信用代码</w:t>
      </w:r>
      <w:r>
        <w:rPr>
          <w:rFonts w:hint="eastAsia" w:ascii="仿宋" w:hAnsi="仿宋" w:eastAsia="仿宋" w:cs="仿宋"/>
          <w:color w:val="auto"/>
          <w:sz w:val="24"/>
          <w:szCs w:val="24"/>
          <w:u w:val="single"/>
        </w:rPr>
        <w:t>（请填写自然人的身份证件名称）</w:t>
      </w:r>
      <w:r>
        <w:rPr>
          <w:rFonts w:hint="eastAsia" w:ascii="仿宋" w:hAnsi="仿宋" w:eastAsia="仿宋" w:cs="仿宋"/>
          <w:color w:val="auto"/>
          <w:sz w:val="24"/>
          <w:szCs w:val="24"/>
        </w:rPr>
        <w:t>复印件，该证明材料真实有效，否则我方负全部责任。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★注意：</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1、请供应商根据实际情况填写，在相应的（）中打“√”并选择相应的“□”（若有）后，再按照本格式的要求提供相应证明材料的复印件。</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3、对于接受联合体形式的谈判且供应商是联合体的，则联合体各成员都应当提交本资格证明文件。</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w:t>
      </w:r>
      <w:r>
        <w:rPr>
          <w:rFonts w:hint="eastAsia" w:ascii="仿宋" w:hAnsi="仿宋" w:eastAsia="仿宋" w:cs="仿宋"/>
          <w:color w:val="auto"/>
          <w:sz w:val="24"/>
          <w:szCs w:val="24"/>
          <w:u w:val="single"/>
        </w:rPr>
        <w:t>（签字）</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供应商名称</w:t>
      </w:r>
      <w:r>
        <w:rPr>
          <w:rFonts w:hint="eastAsia" w:ascii="仿宋" w:hAnsi="仿宋" w:eastAsia="仿宋" w:cs="仿宋"/>
          <w:color w:val="auto"/>
          <w:sz w:val="24"/>
          <w:szCs w:val="24"/>
          <w:u w:val="single"/>
        </w:rPr>
        <w:t>（全称并加盖公章）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both"/>
        <w:textAlignment w:val="auto"/>
        <w:outlineLvl w:val="2"/>
        <w:rPr>
          <w:rFonts w:hint="eastAsia" w:ascii="仿宋" w:hAnsi="仿宋" w:eastAsia="仿宋" w:cs="仿宋"/>
          <w:b/>
          <w:color w:val="auto"/>
          <w:sz w:val="24"/>
          <w:szCs w:val="24"/>
        </w:rPr>
      </w:pPr>
    </w:p>
    <w:p>
      <w:pPr>
        <w:pStyle w:val="3"/>
        <w:bidi w:val="0"/>
        <w:jc w:val="center"/>
        <w:rPr>
          <w:rFonts w:hint="eastAsia" w:ascii="仿宋" w:hAnsi="仿宋" w:eastAsia="仿宋" w:cs="仿宋"/>
          <w:color w:val="auto"/>
          <w:sz w:val="36"/>
          <w:szCs w:val="36"/>
        </w:rPr>
      </w:pPr>
      <w:bookmarkStart w:id="27" w:name="_Toc29999"/>
      <w:r>
        <w:rPr>
          <w:rFonts w:hint="eastAsia" w:ascii="仿宋" w:hAnsi="仿宋" w:eastAsia="仿宋" w:cs="仿宋"/>
          <w:color w:val="auto"/>
          <w:sz w:val="36"/>
          <w:szCs w:val="36"/>
          <w:lang w:val="en-US" w:eastAsia="zh-CN"/>
        </w:rPr>
        <w:t>附件3-5 财务状况报告</w:t>
      </w:r>
      <w:bookmarkEnd w:id="27"/>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(采购人或采购代理机构)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（）供应商提供财务报告的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□企业适用：现附上我方</w:t>
      </w:r>
      <w:r>
        <w:rPr>
          <w:rFonts w:hint="eastAsia" w:ascii="仿宋" w:hAnsi="仿宋" w:eastAsia="仿宋" w:cs="仿宋"/>
          <w:color w:val="auto"/>
          <w:sz w:val="24"/>
          <w:szCs w:val="24"/>
          <w:u w:val="single"/>
        </w:rPr>
        <w:t>（填写“具体的年度、或半年度、或季度”）</w:t>
      </w:r>
      <w:r>
        <w:rPr>
          <w:rFonts w:hint="eastAsia" w:ascii="仿宋" w:hAnsi="仿宋" w:eastAsia="仿宋" w:cs="仿宋"/>
          <w:color w:val="auto"/>
          <w:sz w:val="24"/>
          <w:szCs w:val="24"/>
        </w:rPr>
        <w:t>财务报告复印件，包括资产负债表、利润表、现金流量表、所有者权益变动表及其附注（若有）、会计师事务所营业执照和注册会计师资格证书，上述证明材料真实有效，否则我方负全部责任。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□事业单位适用：现附上我方</w:t>
      </w:r>
      <w:r>
        <w:rPr>
          <w:rFonts w:hint="eastAsia" w:ascii="仿宋" w:hAnsi="仿宋" w:eastAsia="仿宋" w:cs="仿宋"/>
          <w:color w:val="auto"/>
          <w:sz w:val="24"/>
          <w:szCs w:val="24"/>
          <w:u w:val="single"/>
        </w:rPr>
        <w:t>（填写“具体的年度、或半年度、或季度”）</w:t>
      </w:r>
      <w:r>
        <w:rPr>
          <w:rFonts w:hint="eastAsia" w:ascii="仿宋" w:hAnsi="仿宋" w:eastAsia="仿宋" w:cs="仿宋"/>
          <w:color w:val="auto"/>
          <w:sz w:val="24"/>
          <w:szCs w:val="24"/>
        </w:rPr>
        <w:t>财务报告复印件，包括资产负债表、收入支出表或收入费用表、财政补助收入支出表（若有）、会计师事务所营业执照和注册会计师资格证书，上述证明材料真实有效，否则我方负全部责任。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□社会团体、民办非企单位适用：现附上我方</w:t>
      </w:r>
      <w:r>
        <w:rPr>
          <w:rFonts w:hint="eastAsia" w:ascii="仿宋" w:hAnsi="仿宋" w:eastAsia="仿宋" w:cs="仿宋"/>
          <w:color w:val="auto"/>
          <w:sz w:val="24"/>
          <w:szCs w:val="24"/>
          <w:u w:val="single"/>
        </w:rPr>
        <w:t>（填写“具体的年度、或半年度、或季度”）</w:t>
      </w:r>
      <w:r>
        <w:rPr>
          <w:rFonts w:hint="eastAsia" w:ascii="仿宋" w:hAnsi="仿宋" w:eastAsia="仿宋" w:cs="仿宋"/>
          <w:color w:val="auto"/>
          <w:sz w:val="24"/>
          <w:szCs w:val="24"/>
        </w:rPr>
        <w:t>财务报告复印件，包括资产负债表、业务活动表、现金流量表、会计师事务所营业执照和注册会计师资格证书，上述证明材料真实有效，否则我方负全部责任。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（）供应商提供资信证明的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□非自然人适用（包括企业、事业单位、社会团体和其他组织）：现附上我方银行：</w:t>
      </w:r>
      <w:r>
        <w:rPr>
          <w:rFonts w:hint="eastAsia" w:ascii="仿宋" w:hAnsi="仿宋" w:eastAsia="仿宋" w:cs="仿宋"/>
          <w:color w:val="auto"/>
          <w:sz w:val="24"/>
          <w:szCs w:val="24"/>
          <w:u w:val="single"/>
        </w:rPr>
        <w:t>（填写“开户银行全称”）</w:t>
      </w:r>
      <w:r>
        <w:rPr>
          <w:rFonts w:hint="eastAsia" w:ascii="仿宋" w:hAnsi="仿宋" w:eastAsia="仿宋" w:cs="仿宋"/>
          <w:color w:val="auto"/>
          <w:sz w:val="24"/>
          <w:szCs w:val="24"/>
        </w:rPr>
        <w:t>出具的资信证明复印件，上述证明材料真实有效，否则我方负全部责任。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□自然人适用（包括企业、事业单位、社会团体和其他组织）：现附上我方银行：</w:t>
      </w:r>
      <w:r>
        <w:rPr>
          <w:rFonts w:hint="eastAsia" w:ascii="仿宋" w:hAnsi="仿宋" w:eastAsia="仿宋" w:cs="仿宋"/>
          <w:color w:val="auto"/>
          <w:sz w:val="24"/>
          <w:szCs w:val="24"/>
          <w:u w:val="single"/>
        </w:rPr>
        <w:t>（填写自然人的“个人账户的开户银行全称”）</w:t>
      </w:r>
      <w:r>
        <w:rPr>
          <w:rFonts w:hint="eastAsia" w:ascii="仿宋" w:hAnsi="仿宋" w:eastAsia="仿宋" w:cs="仿宋"/>
          <w:color w:val="auto"/>
          <w:sz w:val="24"/>
          <w:szCs w:val="24"/>
        </w:rPr>
        <w:t>出具的资信证明复印件，上述证明材料真实有效，否则我方负全部责任。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（）供应商提供谈判担保函的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现附上由财政部门认可的政府采购专业担保机构：</w:t>
      </w:r>
      <w:r>
        <w:rPr>
          <w:rFonts w:hint="eastAsia" w:ascii="仿宋" w:hAnsi="仿宋" w:eastAsia="仿宋" w:cs="仿宋"/>
          <w:color w:val="auto"/>
          <w:sz w:val="24"/>
          <w:szCs w:val="24"/>
          <w:u w:val="single"/>
        </w:rPr>
        <w:t>（填写“担保机构全称”）</w:t>
      </w:r>
      <w:r>
        <w:rPr>
          <w:rFonts w:hint="eastAsia" w:ascii="仿宋" w:hAnsi="仿宋" w:eastAsia="仿宋" w:cs="仿宋"/>
          <w:color w:val="auto"/>
          <w:sz w:val="24"/>
          <w:szCs w:val="24"/>
        </w:rPr>
        <w:t>出具的谈判担保函复印件，上述证明材料真实有效，否则我方负全部责任。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※注意事项：</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2、供应商提供的财务报告复印件（成立年限按照首次响应文件递交截止时间推算）应符合下列规定：</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2.1成立年限满1年及以上的供应商，提供经审计的上一年度的年度财务报告。</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2.2成立年限满半年但不足1年的供应商，提供该半年度中任一季度的季度财务报告或该半年度的半年度财务报告。</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※无法按照本格式注意事项第2.1、2.2条规定提供财务报告复印件的供应商，应按照本格式注意事项的要求选择提供资信证明复印件或谈判担保函复印件。</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3、“财政部门认可的政府采购专业担保机构”应符合《财政部关于开展政府采购信用担保试点工作方案》（财库[2011]124号）的规定。</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4、供应商提供的相应证明材料复印件均应符合：内容完整、清晰、整洁，并由供应商加盖其单位公章。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5、对于接受联合体形式的</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且供应商是联合体的，则联合体各成员都应当提交本资格证明文件。</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w:t>
      </w:r>
      <w:r>
        <w:rPr>
          <w:rFonts w:hint="eastAsia" w:ascii="仿宋" w:hAnsi="仿宋" w:eastAsia="仿宋" w:cs="仿宋"/>
          <w:color w:val="auto"/>
          <w:sz w:val="24"/>
          <w:szCs w:val="24"/>
          <w:u w:val="single"/>
        </w:rPr>
        <w:t>（签字）</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供应商名称</w:t>
      </w:r>
      <w:r>
        <w:rPr>
          <w:rFonts w:hint="eastAsia" w:ascii="仿宋" w:hAnsi="仿宋" w:eastAsia="仿宋" w:cs="仿宋"/>
          <w:color w:val="auto"/>
          <w:sz w:val="24"/>
          <w:szCs w:val="24"/>
          <w:u w:val="single"/>
        </w:rPr>
        <w:t>（全称并加盖公章）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both"/>
        <w:textAlignment w:val="auto"/>
        <w:outlineLvl w:val="2"/>
        <w:rPr>
          <w:rFonts w:hint="eastAsia" w:ascii="仿宋" w:hAnsi="仿宋" w:eastAsia="仿宋" w:cs="仿宋"/>
          <w:b/>
          <w:color w:val="auto"/>
          <w:sz w:val="24"/>
          <w:szCs w:val="24"/>
        </w:rPr>
      </w:pPr>
    </w:p>
    <w:p>
      <w:pPr>
        <w:pStyle w:val="3"/>
        <w:bidi w:val="0"/>
        <w:jc w:val="center"/>
        <w:rPr>
          <w:rFonts w:hint="eastAsia" w:ascii="仿宋" w:hAnsi="仿宋" w:eastAsia="仿宋" w:cs="仿宋"/>
          <w:color w:val="auto"/>
          <w:sz w:val="36"/>
          <w:szCs w:val="36"/>
        </w:rPr>
      </w:pPr>
      <w:bookmarkStart w:id="28" w:name="_Toc11101"/>
      <w:r>
        <w:rPr>
          <w:rFonts w:hint="eastAsia" w:ascii="仿宋" w:hAnsi="仿宋" w:eastAsia="仿宋" w:cs="仿宋"/>
          <w:color w:val="auto"/>
          <w:sz w:val="36"/>
          <w:szCs w:val="36"/>
        </w:rPr>
        <w:t>附件3-6 依法缴纳税收证明材料</w:t>
      </w:r>
      <w:bookmarkEnd w:id="28"/>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(采购人或采购代理机构)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1、依法缴纳税收的供应商</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（）法人（包括企业、事业单位和社会团体）的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现附上自</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日至</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日期间我方缴纳（包括但不限于税务机关出具的专用收据、税收缴纳证明或税收代缴银行的缴款收讫凭证）等税收凭据复印件，上述证明材料真实有效，否则我方负全部责任。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（）非法人（包括其他组织、自然人）的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现附上自</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日至</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日期间我方缴纳（包括但不限于税务机关出具的专用收据、税收缴纳证明或税收代缴银行的缴款收讫凭证）等税收凭据复印件，上述证明材料真实有效，否则我方负全部责任。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2、依法减免税收的供应商</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（）现附上我方依法免税证明材料复印件，上述证明材料真实有效，否则我方负全部责任。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※注意</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1、请供应商根据实际情况填写，在相应的（）中打“√”，并按照本格式的要求提供相应证明材料的复印件。</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2、供应商提供的税收凭据复印件应符合下列规定：</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2.1首次响应文件递交截止时间前（不含截止时间的当月）已依法缴纳税收的供应商，提供首次响应文件递交截止时间前六个月（不含截止时间的当月）中任一月份的税收凭据复印件。</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2.2首次响应文件递交截止时间的当月成立的供应商，视同满足本项资格条件要求。</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2.3若为依法免税范围的供应商，提供依法免税证明材料的，视同满足本项资格条件要求。</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w:t>
      </w:r>
      <w:r>
        <w:rPr>
          <w:rFonts w:hint="eastAsia" w:ascii="仿宋" w:hAnsi="仿宋" w:eastAsia="仿宋" w:cs="仿宋"/>
          <w:color w:val="auto"/>
          <w:sz w:val="24"/>
          <w:szCs w:val="24"/>
          <w:u w:val="single"/>
        </w:rPr>
        <w:t>（签字）</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供应商名称</w:t>
      </w:r>
      <w:r>
        <w:rPr>
          <w:rFonts w:hint="eastAsia" w:ascii="仿宋" w:hAnsi="仿宋" w:eastAsia="仿宋" w:cs="仿宋"/>
          <w:color w:val="auto"/>
          <w:sz w:val="24"/>
          <w:szCs w:val="24"/>
          <w:u w:val="single"/>
        </w:rPr>
        <w:t>（全称并加盖公章）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both"/>
        <w:textAlignment w:val="auto"/>
        <w:outlineLvl w:val="2"/>
        <w:rPr>
          <w:rFonts w:hint="eastAsia" w:ascii="仿宋" w:hAnsi="仿宋" w:eastAsia="仿宋" w:cs="仿宋"/>
          <w:b/>
          <w:color w:val="auto"/>
          <w:sz w:val="24"/>
          <w:szCs w:val="24"/>
        </w:rPr>
      </w:pPr>
    </w:p>
    <w:p>
      <w:pPr>
        <w:pStyle w:val="3"/>
        <w:bidi w:val="0"/>
        <w:jc w:val="center"/>
        <w:rPr>
          <w:rFonts w:hint="eastAsia" w:ascii="仿宋" w:hAnsi="仿宋" w:eastAsia="仿宋" w:cs="仿宋"/>
          <w:color w:val="auto"/>
          <w:sz w:val="36"/>
          <w:szCs w:val="36"/>
        </w:rPr>
      </w:pPr>
      <w:bookmarkStart w:id="29" w:name="_Toc26546"/>
      <w:r>
        <w:rPr>
          <w:rFonts w:hint="eastAsia" w:ascii="仿宋" w:hAnsi="仿宋" w:eastAsia="仿宋" w:cs="仿宋"/>
          <w:color w:val="auto"/>
          <w:sz w:val="36"/>
          <w:szCs w:val="36"/>
        </w:rPr>
        <w:t>附件3-7 依法缴纳社会保障资金证明材料</w:t>
      </w:r>
      <w:bookmarkEnd w:id="29"/>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(采购人或采购代理机构)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1、依法缴纳社会保障资金的供应商</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（）法人（包括企业、事业单位和社会团体）的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现附上自</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日至</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日我方缴纳的社会保险凭据（限：税务机关/社会保障资金管理机关的专用收据或社会保险缴纳清单，或社会保险的银行缴款收讫凭证）复印件，上述证明材料真实有效，否则我方负全部责任。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（）非法人（包括其他组织、自然人）的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自</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日至</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日我方缴纳的社会保险凭据（限：税务机关/社会保障资金管理机关的专用收据或社会保险缴纳清单，或社会保险的银行缴款收讫凭证）复印件，上述证明材料真实有效，否则我方负全部责任。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2、依法不需要缴纳或暂缓缴纳社会保障资金的供应商</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（）现附上我方依法不需要缴纳社会保障资金证明材料复印件，上述证明材料真实有效，否则我方负全部责任。、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※注意</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1、请供应商根据实际情况填写，在相应的（）中打“√”，并按照本格式的要求提供相应证明材料的复印件。</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2、供应商提供的社会保险凭据复印件应符合下列规定：</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2.1首次响应文件递交截止时间前（不含截止时间的当月）已依法缴纳社会保障资金的投供应商，提供首次响应文件递交截止时间前六个月（不含截止时间的当月）中任一月份的社会保险凭据复印件。</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2.2首次响应文件递交截止时间的当月成立的供应商，视同满足本项资格条件要求。</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2.3若为依法不需要缴纳或暂缓缴纳社会保障资金的供应商，提供依法不需要缴纳或暂缓缴纳社会保障资金证明材料的，视同满足本项资格条件要求。</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w:t>
      </w:r>
      <w:r>
        <w:rPr>
          <w:rFonts w:hint="eastAsia" w:ascii="仿宋" w:hAnsi="仿宋" w:eastAsia="仿宋" w:cs="仿宋"/>
          <w:color w:val="auto"/>
          <w:sz w:val="24"/>
          <w:szCs w:val="24"/>
          <w:u w:val="single"/>
        </w:rPr>
        <w:t>（签字）</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供应商名称</w:t>
      </w:r>
      <w:r>
        <w:rPr>
          <w:rFonts w:hint="eastAsia" w:ascii="仿宋" w:hAnsi="仿宋" w:eastAsia="仿宋" w:cs="仿宋"/>
          <w:color w:val="auto"/>
          <w:sz w:val="24"/>
          <w:szCs w:val="24"/>
          <w:u w:val="single"/>
        </w:rPr>
        <w:t>（全称并加盖公章）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both"/>
        <w:textAlignment w:val="auto"/>
        <w:outlineLvl w:val="2"/>
        <w:rPr>
          <w:rFonts w:hint="eastAsia" w:ascii="仿宋" w:hAnsi="仿宋" w:eastAsia="仿宋" w:cs="仿宋"/>
          <w:b/>
          <w:color w:val="auto"/>
          <w:sz w:val="24"/>
          <w:szCs w:val="24"/>
        </w:rPr>
      </w:pPr>
    </w:p>
    <w:p>
      <w:pPr>
        <w:pStyle w:val="3"/>
        <w:bidi w:val="0"/>
        <w:jc w:val="center"/>
        <w:rPr>
          <w:rFonts w:hint="eastAsia" w:ascii="仿宋" w:hAnsi="仿宋" w:eastAsia="仿宋" w:cs="仿宋"/>
          <w:color w:val="auto"/>
          <w:sz w:val="36"/>
          <w:szCs w:val="36"/>
        </w:rPr>
      </w:pPr>
      <w:bookmarkStart w:id="30" w:name="_Toc21056"/>
      <w:r>
        <w:rPr>
          <w:rFonts w:hint="eastAsia" w:ascii="仿宋" w:hAnsi="仿宋" w:eastAsia="仿宋" w:cs="仿宋"/>
          <w:color w:val="auto"/>
          <w:sz w:val="36"/>
          <w:szCs w:val="36"/>
        </w:rPr>
        <w:t>附件3-8 具备履行合同所必需设备和专业技术能力证明材料声明函</w:t>
      </w:r>
      <w:bookmarkEnd w:id="30"/>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(采购人或采购代理机构)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我方具备履行合同所必需的设备和专业技术能力，并对本声明承诺的真实性负责，否则产生不利后果由我方承担责任。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特此声明。</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1.谈判文件“供应商的资格”中特定资格条件如果没有特别规定，则由供应商在响应文件中按上述格式提供其具备履行合同所必需的设备和专业技术能力的声明即可，声明函应加盖供应商单位公章。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如果根据项目的特点和需要，对履行合同所必需的设备和专业技术能力的证明材料有特别专项要求的，则采购人或采购代理机构应当在谈判文件“供应商的资格”中特定资格条件进行明确约定，供应商可以不用提供上述格式要求的声明函，但必须按特定资格条件的规定提供相应专项证明材料，并对相应证明材料的真实性负责。</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3.对于接受联合体形式的谈判且供应商是联合体的，则联合体各成员都应当提交本资格证明文件。</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w:t>
      </w:r>
      <w:r>
        <w:rPr>
          <w:rFonts w:hint="eastAsia" w:ascii="仿宋" w:hAnsi="仿宋" w:eastAsia="仿宋" w:cs="仿宋"/>
          <w:color w:val="auto"/>
          <w:sz w:val="24"/>
          <w:szCs w:val="24"/>
          <w:u w:val="single"/>
        </w:rPr>
        <w:t>（签字）</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供应商名称</w:t>
      </w:r>
      <w:r>
        <w:rPr>
          <w:rFonts w:hint="eastAsia" w:ascii="仿宋" w:hAnsi="仿宋" w:eastAsia="仿宋" w:cs="仿宋"/>
          <w:color w:val="auto"/>
          <w:sz w:val="24"/>
          <w:szCs w:val="24"/>
          <w:u w:val="single"/>
        </w:rPr>
        <w:t>（全称并加盖公章）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both"/>
        <w:textAlignment w:val="auto"/>
        <w:outlineLvl w:val="2"/>
        <w:rPr>
          <w:rFonts w:hint="eastAsia" w:ascii="仿宋" w:hAnsi="仿宋" w:eastAsia="仿宋" w:cs="仿宋"/>
          <w:b/>
          <w:color w:val="auto"/>
          <w:sz w:val="24"/>
          <w:szCs w:val="24"/>
        </w:rPr>
      </w:pPr>
    </w:p>
    <w:p>
      <w:pPr>
        <w:pStyle w:val="3"/>
        <w:bidi w:val="0"/>
        <w:jc w:val="center"/>
        <w:rPr>
          <w:rFonts w:hint="eastAsia" w:ascii="仿宋" w:hAnsi="仿宋" w:eastAsia="仿宋" w:cs="仿宋"/>
          <w:color w:val="auto"/>
        </w:rPr>
      </w:pPr>
      <w:bookmarkStart w:id="31" w:name="_Toc16227"/>
      <w:r>
        <w:rPr>
          <w:rFonts w:hint="eastAsia" w:ascii="仿宋" w:hAnsi="仿宋" w:eastAsia="仿宋" w:cs="仿宋"/>
          <w:color w:val="auto"/>
          <w:sz w:val="36"/>
          <w:szCs w:val="36"/>
        </w:rPr>
        <w:t>附件3-9 信用记录查询结果</w:t>
      </w:r>
      <w:bookmarkEnd w:id="31"/>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1、由谈判小组通过网站查询并打印供应商的信用记录。</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经查询，供应商参加本项目采购活动(响应文件递交截止时间)前三年内被列入失信被执行人名单、重大税收违法案件当事人名单、政府采购严重违法失信行为记录名单及其他重大违法记录且相关信用惩戒期限未满的，其资格审查不合格。</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供应商应了解自身的信用记录情况。当供应商受到200万以上罚款的行政处罚且该罚款不属较大数额罚款时，供应商应在电子响应文件中提供此项罚款不属于较大数额罚款的依据（如提供：相关法律制度的规定、行政执法机构对该罚款不属于较大数额罚款的认定或者其他有效依据）。</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3"/>
        <w:bidi w:val="0"/>
        <w:jc w:val="center"/>
        <w:rPr>
          <w:rFonts w:hint="eastAsia" w:ascii="仿宋" w:hAnsi="仿宋" w:eastAsia="仿宋" w:cs="仿宋"/>
          <w:color w:val="auto"/>
        </w:rPr>
      </w:pPr>
      <w:bookmarkStart w:id="32" w:name="_Toc3911"/>
      <w:r>
        <w:rPr>
          <w:rFonts w:hint="eastAsia" w:ascii="仿宋" w:hAnsi="仿宋" w:eastAsia="仿宋" w:cs="仿宋"/>
          <w:color w:val="auto"/>
          <w:sz w:val="36"/>
          <w:szCs w:val="36"/>
        </w:rPr>
        <w:t>附件3-10 联合体协议</w:t>
      </w:r>
      <w:bookmarkEnd w:id="32"/>
    </w:p>
    <w:p>
      <w:pPr>
        <w:pStyle w:val="4"/>
        <w:bidi w:val="0"/>
        <w:jc w:val="center"/>
        <w:rPr>
          <w:rFonts w:hint="eastAsia" w:ascii="仿宋" w:hAnsi="仿宋" w:eastAsia="仿宋" w:cs="仿宋"/>
          <w:color w:val="auto"/>
        </w:rPr>
      </w:pPr>
      <w:r>
        <w:rPr>
          <w:rFonts w:hint="eastAsia" w:ascii="仿宋" w:hAnsi="仿宋" w:eastAsia="仿宋" w:cs="仿宋"/>
          <w:color w:val="auto"/>
        </w:rPr>
        <w:t>（接受联合体的项目使用）</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(采购人或采购代理机构)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兹有</w:t>
      </w:r>
      <w:r>
        <w:rPr>
          <w:rFonts w:hint="eastAsia" w:ascii="仿宋" w:hAnsi="仿宋" w:eastAsia="仿宋" w:cs="仿宋"/>
          <w:color w:val="auto"/>
          <w:sz w:val="24"/>
          <w:szCs w:val="24"/>
          <w:u w:val="single"/>
        </w:rPr>
        <w:t>（填写“联合体中各方的全称”，各方的全称之间请用“、”分割）</w:t>
      </w:r>
      <w:r>
        <w:rPr>
          <w:rFonts w:hint="eastAsia" w:ascii="仿宋" w:hAnsi="仿宋" w:eastAsia="仿宋" w:cs="仿宋"/>
          <w:color w:val="auto"/>
          <w:sz w:val="24"/>
          <w:szCs w:val="24"/>
        </w:rPr>
        <w:t>自愿组成联合体，共同参加（填写</w:t>
      </w:r>
      <w:r>
        <w:rPr>
          <w:rFonts w:hint="eastAsia" w:ascii="仿宋" w:hAnsi="仿宋" w:eastAsia="仿宋" w:cs="仿宋"/>
          <w:color w:val="auto"/>
          <w:sz w:val="24"/>
          <w:szCs w:val="24"/>
          <w:u w:val="single"/>
        </w:rPr>
        <w:t>(项目名称)</w:t>
      </w:r>
      <w:r>
        <w:rPr>
          <w:rFonts w:hint="eastAsia" w:ascii="仿宋" w:hAnsi="仿宋" w:eastAsia="仿宋" w:cs="仿宋"/>
          <w:color w:val="auto"/>
          <w:sz w:val="24"/>
          <w:szCs w:val="24"/>
        </w:rPr>
        <w:t>项目（项目编号：</w:t>
      </w:r>
      <w:r>
        <w:rPr>
          <w:rFonts w:hint="eastAsia" w:ascii="仿宋" w:hAnsi="仿宋" w:eastAsia="仿宋" w:cs="仿宋"/>
          <w:color w:val="auto"/>
          <w:sz w:val="24"/>
          <w:szCs w:val="24"/>
          <w:u w:val="single"/>
        </w:rPr>
        <w:t>（填写“项目编号”）</w:t>
      </w:r>
      <w:r>
        <w:rPr>
          <w:rFonts w:hint="eastAsia" w:ascii="仿宋" w:hAnsi="仿宋" w:eastAsia="仿宋" w:cs="仿宋"/>
          <w:color w:val="auto"/>
          <w:sz w:val="24"/>
          <w:szCs w:val="24"/>
        </w:rPr>
        <w:t>）的响应。现就联合体参加本项目响应谈判的有关事宜达成下列协议：</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一、联合体各方应承担的工作和义务具体如下：</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1、牵头方单位名称：</w:t>
      </w:r>
      <w:r>
        <w:rPr>
          <w:rFonts w:hint="eastAsia" w:ascii="仿宋" w:hAnsi="仿宋" w:eastAsia="仿宋" w:cs="仿宋"/>
          <w:color w:val="auto"/>
          <w:sz w:val="24"/>
          <w:szCs w:val="24"/>
          <w:u w:val="single"/>
        </w:rPr>
        <w:t>（填写“工作及义务的具体内容”）</w:t>
      </w:r>
      <w:r>
        <w:rPr>
          <w:rFonts w:hint="eastAsia" w:ascii="仿宋" w:hAnsi="仿宋" w:eastAsia="仿宋" w:cs="仿宋"/>
          <w:color w:val="auto"/>
          <w:sz w:val="24"/>
          <w:szCs w:val="24"/>
        </w:rPr>
        <w:t>;</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2、成员方：</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2.1（成员一的全称）：</w:t>
      </w:r>
      <w:r>
        <w:rPr>
          <w:rFonts w:hint="eastAsia" w:ascii="仿宋" w:hAnsi="仿宋" w:eastAsia="仿宋" w:cs="仿宋"/>
          <w:color w:val="auto"/>
          <w:sz w:val="24"/>
          <w:szCs w:val="24"/>
          <w:u w:val="single"/>
        </w:rPr>
        <w:t>（填写“工作及义务的具体内容”）</w:t>
      </w:r>
      <w:r>
        <w:rPr>
          <w:rFonts w:hint="eastAsia" w:ascii="仿宋" w:hAnsi="仿宋" w:eastAsia="仿宋" w:cs="仿宋"/>
          <w:color w:val="auto"/>
          <w:sz w:val="24"/>
          <w:szCs w:val="24"/>
        </w:rPr>
        <w:t>；</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二、联合体各方的合同金额占比，具体如下：</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1、牵头方单位名称：</w:t>
      </w:r>
      <w:r>
        <w:rPr>
          <w:rFonts w:hint="eastAsia" w:ascii="仿宋" w:hAnsi="仿宋" w:eastAsia="仿宋" w:cs="仿宋"/>
          <w:color w:val="auto"/>
          <w:sz w:val="24"/>
          <w:szCs w:val="24"/>
          <w:u w:val="single"/>
        </w:rPr>
        <w:t>（填写“工作及义务的具体内容”）</w:t>
      </w:r>
      <w:r>
        <w:rPr>
          <w:rFonts w:hint="eastAsia" w:ascii="仿宋" w:hAnsi="仿宋" w:eastAsia="仿宋" w:cs="仿宋"/>
          <w:color w:val="auto"/>
          <w:sz w:val="24"/>
          <w:szCs w:val="24"/>
        </w:rPr>
        <w:t>;</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2、成员方：</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2.1（成员一的全称）：</w:t>
      </w:r>
      <w:r>
        <w:rPr>
          <w:rFonts w:hint="eastAsia" w:ascii="仿宋" w:hAnsi="仿宋" w:eastAsia="仿宋" w:cs="仿宋"/>
          <w:color w:val="auto"/>
          <w:sz w:val="24"/>
          <w:szCs w:val="24"/>
          <w:u w:val="single"/>
        </w:rPr>
        <w:t>（填写“工作及义务的具体内容”）</w:t>
      </w:r>
      <w:r>
        <w:rPr>
          <w:rFonts w:hint="eastAsia" w:ascii="仿宋" w:hAnsi="仿宋" w:eastAsia="仿宋" w:cs="仿宋"/>
          <w:color w:val="auto"/>
          <w:sz w:val="24"/>
          <w:szCs w:val="24"/>
        </w:rPr>
        <w:t>；</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三、联合体各方约定</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1、由</w:t>
      </w:r>
      <w:r>
        <w:rPr>
          <w:rFonts w:hint="eastAsia" w:ascii="仿宋" w:hAnsi="仿宋" w:eastAsia="仿宋" w:cs="仿宋"/>
          <w:color w:val="auto"/>
          <w:sz w:val="24"/>
          <w:szCs w:val="24"/>
          <w:u w:val="single"/>
        </w:rPr>
        <w:t>（填写“牵头方的全称”）</w:t>
      </w:r>
      <w:r>
        <w:rPr>
          <w:rFonts w:hint="eastAsia" w:ascii="仿宋" w:hAnsi="仿宋" w:eastAsia="仿宋" w:cs="仿宋"/>
          <w:color w:val="auto"/>
          <w:sz w:val="24"/>
          <w:szCs w:val="24"/>
        </w:rPr>
        <w:t>代表联合体办理参加本项目响应谈判的有关事宜（包括但不限于：派出供应商代表、提交响应文件及参加谈判、澄清等工作），在此过程中，供应商代表签署的一切文件和处理结果，联合体各方均予以认可并对此承担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2、联合体各方约定由（填写“牵头方的全称”）代表联合体办理谈判保证金事宜。</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四、若成交，牵头方将代表联合体与采购人就合同签订事宜进行协商；若协商一致，则联合体各方将共同与采购人签订政府采购合同，并就政府采购合同约定的事项对采购人承担连带责任。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五、本协议自签署之日起生效，政府采购合同履行完毕后自动失效。</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六、本协议一式</w:t>
      </w:r>
      <w:r>
        <w:rPr>
          <w:rFonts w:hint="eastAsia" w:ascii="仿宋" w:hAnsi="仿宋" w:eastAsia="仿宋" w:cs="仿宋"/>
          <w:color w:val="auto"/>
          <w:sz w:val="24"/>
          <w:szCs w:val="24"/>
          <w:u w:val="single"/>
        </w:rPr>
        <w:t>（填写具体份数）</w:t>
      </w:r>
      <w:r>
        <w:rPr>
          <w:rFonts w:hint="eastAsia" w:ascii="仿宋" w:hAnsi="仿宋" w:eastAsia="仿宋" w:cs="仿宋"/>
          <w:color w:val="auto"/>
          <w:sz w:val="24"/>
          <w:szCs w:val="24"/>
        </w:rPr>
        <w:t>份，联合体各方各执一份，响应文件中提交一份。</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（以下无正文）</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牵头方：</w:t>
      </w:r>
      <w:r>
        <w:rPr>
          <w:rFonts w:hint="eastAsia" w:ascii="仿宋" w:hAnsi="仿宋" w:eastAsia="仿宋" w:cs="仿宋"/>
          <w:color w:val="auto"/>
          <w:sz w:val="24"/>
          <w:szCs w:val="24"/>
          <w:u w:val="single"/>
        </w:rPr>
        <w:t>（全称并加盖单位公章）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w:t>
      </w:r>
      <w:r>
        <w:rPr>
          <w:rFonts w:hint="eastAsia" w:ascii="仿宋" w:hAnsi="仿宋" w:eastAsia="仿宋" w:cs="仿宋"/>
          <w:color w:val="auto"/>
          <w:sz w:val="24"/>
          <w:szCs w:val="24"/>
          <w:u w:val="single"/>
        </w:rPr>
        <w:t>（签字或盖章）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成员一：</w:t>
      </w:r>
      <w:r>
        <w:rPr>
          <w:rFonts w:hint="eastAsia" w:ascii="仿宋" w:hAnsi="仿宋" w:eastAsia="仿宋" w:cs="仿宋"/>
          <w:color w:val="auto"/>
          <w:sz w:val="24"/>
          <w:szCs w:val="24"/>
          <w:u w:val="single"/>
        </w:rPr>
        <w:t>（全称并加盖成员一的单位公章）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w:t>
      </w:r>
      <w:r>
        <w:rPr>
          <w:rFonts w:hint="eastAsia" w:ascii="仿宋" w:hAnsi="仿宋" w:eastAsia="仿宋" w:cs="仿宋"/>
          <w:color w:val="auto"/>
          <w:sz w:val="24"/>
          <w:szCs w:val="24"/>
          <w:u w:val="single"/>
        </w:rPr>
        <w:t>（签字或盖章）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成员**：</w:t>
      </w:r>
      <w:r>
        <w:rPr>
          <w:rFonts w:hint="eastAsia" w:ascii="仿宋" w:hAnsi="仿宋" w:eastAsia="仿宋" w:cs="仿宋"/>
          <w:color w:val="auto"/>
          <w:sz w:val="24"/>
          <w:szCs w:val="24"/>
          <w:u w:val="single"/>
        </w:rPr>
        <w:t>（全称并加盖成员**的单位公章）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w:t>
      </w:r>
      <w:r>
        <w:rPr>
          <w:rFonts w:hint="eastAsia" w:ascii="仿宋" w:hAnsi="仿宋" w:eastAsia="仿宋" w:cs="仿宋"/>
          <w:color w:val="auto"/>
          <w:sz w:val="24"/>
          <w:szCs w:val="24"/>
          <w:u w:val="single"/>
        </w:rPr>
        <w:t>（签字或盖章）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※注意：</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1、若谈判文件规定接受联合体形式且供应商为联合体的，则供应商应提供本协议；否则无须提供。</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2、本协议中的供应商代表如果不是竞争性谈判须知中定义的“单位负责人”，则还必须提供“单位负责人授权书”。</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3、在以联合体形式落实中小企业预留份额项目中，供应商除了要提供《中小企业声明函》，还需提供本协议。</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both"/>
        <w:textAlignment w:val="auto"/>
        <w:outlineLvl w:val="2"/>
        <w:rPr>
          <w:rFonts w:hint="eastAsia" w:ascii="仿宋" w:hAnsi="仿宋" w:eastAsia="仿宋" w:cs="仿宋"/>
          <w:b/>
          <w:color w:val="auto"/>
          <w:sz w:val="24"/>
          <w:szCs w:val="24"/>
        </w:rPr>
      </w:pPr>
    </w:p>
    <w:p>
      <w:pPr>
        <w:pStyle w:val="3"/>
        <w:bidi w:val="0"/>
        <w:jc w:val="center"/>
        <w:rPr>
          <w:rFonts w:hint="eastAsia" w:ascii="仿宋" w:hAnsi="仿宋" w:eastAsia="仿宋" w:cs="仿宋"/>
          <w:color w:val="auto"/>
        </w:rPr>
      </w:pPr>
      <w:bookmarkStart w:id="33" w:name="_Toc16549"/>
      <w:r>
        <w:rPr>
          <w:rFonts w:hint="eastAsia" w:ascii="仿宋" w:hAnsi="仿宋" w:eastAsia="仿宋" w:cs="仿宋"/>
          <w:color w:val="auto"/>
          <w:sz w:val="36"/>
          <w:szCs w:val="36"/>
        </w:rPr>
        <w:t>附件3-11分包意向协议（若有）</w:t>
      </w:r>
      <w:bookmarkEnd w:id="33"/>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甲方（总包方）：</w:t>
      </w:r>
      <w:r>
        <w:rPr>
          <w:rFonts w:hint="eastAsia" w:ascii="仿宋" w:hAnsi="仿宋" w:eastAsia="仿宋" w:cs="仿宋"/>
          <w:color w:val="auto"/>
          <w:sz w:val="24"/>
          <w:szCs w:val="24"/>
          <w:u w:val="single"/>
        </w:rPr>
        <w:t>　　　　　　　</w:t>
      </w:r>
      <w:r>
        <w:rPr>
          <w:rFonts w:hint="eastAsia" w:ascii="仿宋" w:hAnsi="仿宋" w:eastAsia="仿宋" w:cs="仿宋"/>
          <w:color w:val="auto"/>
          <w:sz w:val="24"/>
          <w:szCs w:val="24"/>
        </w:rPr>
        <w:t>（即本项目的供应商）</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乙方（分包方）：</w:t>
      </w:r>
      <w:r>
        <w:rPr>
          <w:rFonts w:hint="eastAsia" w:ascii="仿宋" w:hAnsi="仿宋" w:eastAsia="仿宋" w:cs="仿宋"/>
          <w:color w:val="auto"/>
          <w:sz w:val="24"/>
          <w:szCs w:val="24"/>
          <w:u w:val="single"/>
        </w:rPr>
        <w:t>　　　　　　　</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兹有甲方参加</w:t>
      </w:r>
      <w:r>
        <w:rPr>
          <w:rFonts w:hint="eastAsia" w:ascii="仿宋" w:hAnsi="仿宋" w:eastAsia="仿宋" w:cs="仿宋"/>
          <w:color w:val="auto"/>
          <w:sz w:val="24"/>
          <w:szCs w:val="24"/>
          <w:u w:val="single"/>
        </w:rPr>
        <w:t>（填写“项目名称”）</w:t>
      </w:r>
      <w:r>
        <w:rPr>
          <w:rFonts w:hint="eastAsia" w:ascii="仿宋" w:hAnsi="仿宋" w:eastAsia="仿宋" w:cs="仿宋"/>
          <w:color w:val="auto"/>
          <w:sz w:val="24"/>
          <w:szCs w:val="24"/>
        </w:rPr>
        <w:t>项目（项目编号：</w:t>
      </w:r>
      <w:r>
        <w:rPr>
          <w:rFonts w:hint="eastAsia" w:ascii="仿宋" w:hAnsi="仿宋" w:eastAsia="仿宋" w:cs="仿宋"/>
          <w:color w:val="auto"/>
          <w:sz w:val="24"/>
          <w:szCs w:val="24"/>
          <w:u w:val="single"/>
        </w:rPr>
        <w:t>　　　　　　　</w:t>
      </w:r>
      <w:r>
        <w:rPr>
          <w:rFonts w:hint="eastAsia" w:ascii="仿宋" w:hAnsi="仿宋" w:eastAsia="仿宋" w:cs="仿宋"/>
          <w:color w:val="auto"/>
          <w:sz w:val="24"/>
          <w:szCs w:val="24"/>
        </w:rPr>
        <w:t>）的政府采购活动。甲方期望将采购项目的部分采购标的分包给乙方完成，而乙方保证能够向甲方提供本协议项下的采购标的，甲、乙双方就合同分包的有关事宜达成下列协议：</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一、分包标的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u w:val="single"/>
        </w:rPr>
        <w:t>（根据双方的意向填写，可以是表格或文字描述）。</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二、分包合同金额占比</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分包合同价占报价总价的比例：</w:t>
      </w:r>
      <w:r>
        <w:rPr>
          <w:rFonts w:hint="eastAsia" w:ascii="仿宋" w:hAnsi="仿宋" w:eastAsia="仿宋" w:cs="仿宋"/>
          <w:color w:val="auto"/>
          <w:sz w:val="24"/>
          <w:szCs w:val="24"/>
          <w:u w:val="single"/>
        </w:rPr>
        <w:t>　　　　　</w:t>
      </w:r>
      <w:r>
        <w:rPr>
          <w:rFonts w:hint="eastAsia" w:ascii="仿宋" w:hAnsi="仿宋" w:eastAsia="仿宋" w:cs="仿宋"/>
          <w:color w:val="auto"/>
          <w:sz w:val="24"/>
          <w:szCs w:val="24"/>
        </w:rPr>
        <w:t>%</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三、其他条款</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2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甲方：</w:t>
            </w:r>
          </w:p>
        </w:tc>
        <w:tc>
          <w:tcPr>
            <w:tcW w:w="4153"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住所：</w:t>
            </w:r>
          </w:p>
        </w:tc>
        <w:tc>
          <w:tcPr>
            <w:tcW w:w="4153"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单位负责人或委托代理人：</w:t>
            </w:r>
          </w:p>
        </w:tc>
        <w:tc>
          <w:tcPr>
            <w:tcW w:w="4153"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联系方法：</w:t>
            </w:r>
          </w:p>
        </w:tc>
        <w:tc>
          <w:tcPr>
            <w:tcW w:w="4153"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开户银行：</w:t>
            </w:r>
          </w:p>
        </w:tc>
        <w:tc>
          <w:tcPr>
            <w:tcW w:w="4153"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账号：</w:t>
            </w:r>
          </w:p>
        </w:tc>
        <w:tc>
          <w:tcPr>
            <w:tcW w:w="4153"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43"/>
              <w:keepNext w:val="0"/>
              <w:keepLines w:val="0"/>
              <w:pageBreakBefore w:val="0"/>
              <w:kinsoku/>
              <w:wordWrap/>
              <w:overflowPunct/>
              <w:topLinePunct w:val="0"/>
              <w:autoSpaceDE/>
              <w:autoSpaceDN/>
              <w:bidi w:val="0"/>
              <w:adjustRightInd/>
              <w:snapToGrid/>
              <w:spacing w:line="360" w:lineRule="atLeast"/>
              <w:jc w:val="righ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签订地点：</w:t>
            </w:r>
            <w:r>
              <w:rPr>
                <w:rFonts w:hint="eastAsia" w:ascii="仿宋" w:hAnsi="仿宋" w:eastAsia="仿宋" w:cs="仿宋"/>
                <w:color w:val="auto"/>
                <w:sz w:val="24"/>
                <w:szCs w:val="24"/>
                <w:u w:val="single"/>
              </w:rPr>
              <w:t>　　　　　　　　　　</w:t>
            </w:r>
          </w:p>
          <w:p>
            <w:pPr>
              <w:pStyle w:val="43"/>
              <w:keepNext w:val="0"/>
              <w:keepLines w:val="0"/>
              <w:pageBreakBefore w:val="0"/>
              <w:kinsoku/>
              <w:wordWrap/>
              <w:overflowPunct/>
              <w:topLinePunct w:val="0"/>
              <w:autoSpaceDE/>
              <w:autoSpaceDN/>
              <w:bidi w:val="0"/>
              <w:adjustRightInd/>
              <w:snapToGrid/>
              <w:spacing w:line="360" w:lineRule="atLeast"/>
              <w:jc w:val="righ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签约日期：</w:t>
            </w:r>
            <w:r>
              <w:rPr>
                <w:rFonts w:hint="eastAsia" w:ascii="仿宋" w:hAnsi="仿宋" w:eastAsia="仿宋" w:cs="仿宋"/>
                <w:color w:val="auto"/>
                <w:sz w:val="24"/>
                <w:szCs w:val="24"/>
                <w:u w:val="single"/>
              </w:rPr>
              <w:t>　　年　　月　　日</w:t>
            </w:r>
          </w:p>
        </w:tc>
      </w:tr>
    </w:tbl>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※注意：</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1.谈判文件接受合同分包且供应商拟将合同分包的，应提供本协议；否则无须提供。</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2.本协议由委托代理人签字或盖章的，应按照本章载明的格式提供“单位授权书”。</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3.在以合同分包形式落实中小企业预留份额项目中，供应商除了要提供《中小企业声明函》，还需提供本协议。</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both"/>
        <w:textAlignment w:val="auto"/>
        <w:outlineLvl w:val="2"/>
        <w:rPr>
          <w:rFonts w:hint="eastAsia" w:ascii="仿宋" w:hAnsi="仿宋" w:eastAsia="仿宋" w:cs="仿宋"/>
          <w:b/>
          <w:color w:val="auto"/>
          <w:sz w:val="24"/>
          <w:szCs w:val="24"/>
        </w:rPr>
      </w:pPr>
    </w:p>
    <w:p>
      <w:pPr>
        <w:pStyle w:val="3"/>
        <w:bidi w:val="0"/>
        <w:jc w:val="center"/>
        <w:rPr>
          <w:rFonts w:hint="eastAsia" w:ascii="仿宋" w:hAnsi="仿宋" w:eastAsia="仿宋" w:cs="仿宋"/>
          <w:color w:val="auto"/>
          <w:sz w:val="36"/>
          <w:szCs w:val="36"/>
        </w:rPr>
      </w:pPr>
      <w:bookmarkStart w:id="34" w:name="_Toc21664"/>
      <w:r>
        <w:rPr>
          <w:rFonts w:hint="eastAsia" w:ascii="仿宋" w:hAnsi="仿宋" w:eastAsia="仿宋" w:cs="仿宋"/>
          <w:color w:val="auto"/>
          <w:sz w:val="36"/>
          <w:szCs w:val="36"/>
        </w:rPr>
        <w:t>附件3-12 参加采购活动前三年内在经营活动中没有重大违法记录书面声明</w:t>
      </w:r>
      <w:bookmarkEnd w:id="34"/>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致：</w:t>
      </w:r>
      <w:r>
        <w:rPr>
          <w:rFonts w:hint="eastAsia" w:ascii="仿宋" w:hAnsi="仿宋" w:eastAsia="仿宋" w:cs="仿宋"/>
          <w:color w:val="auto"/>
          <w:sz w:val="24"/>
          <w:szCs w:val="24"/>
          <w:u w:val="single"/>
        </w:rPr>
        <w:t>(采购人或采购代理机构)</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特此声明。</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供应商名称</w:t>
      </w:r>
      <w:r>
        <w:rPr>
          <w:rFonts w:hint="eastAsia" w:ascii="仿宋" w:hAnsi="仿宋" w:eastAsia="仿宋" w:cs="仿宋"/>
          <w:color w:val="auto"/>
          <w:sz w:val="24"/>
          <w:szCs w:val="24"/>
          <w:u w:val="single"/>
        </w:rPr>
        <w:t>（全称并加盖公章）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※注意</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1、“重大违法记录”指供应商因违法经营受到刑事处罚或责令停产停业、吊销许可证或执照、较大数额罚款等行政处罚。</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2、请供应商根据实际情况如实声明，否则视为提供虚假材料。</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both"/>
        <w:textAlignment w:val="auto"/>
        <w:outlineLvl w:val="2"/>
        <w:rPr>
          <w:rFonts w:hint="eastAsia" w:ascii="仿宋" w:hAnsi="仿宋" w:eastAsia="仿宋" w:cs="仿宋"/>
          <w:b/>
          <w:color w:val="auto"/>
          <w:sz w:val="24"/>
          <w:szCs w:val="24"/>
        </w:rPr>
      </w:pPr>
    </w:p>
    <w:p>
      <w:pPr>
        <w:pStyle w:val="3"/>
        <w:bidi w:val="0"/>
        <w:jc w:val="center"/>
        <w:rPr>
          <w:rFonts w:hint="eastAsia" w:ascii="仿宋" w:hAnsi="仿宋" w:eastAsia="仿宋" w:cs="仿宋"/>
          <w:color w:val="auto"/>
          <w:sz w:val="36"/>
          <w:szCs w:val="36"/>
        </w:rPr>
      </w:pPr>
      <w:bookmarkStart w:id="35" w:name="_Toc16096"/>
      <w:r>
        <w:rPr>
          <w:rFonts w:hint="eastAsia" w:ascii="仿宋" w:hAnsi="仿宋" w:eastAsia="仿宋" w:cs="仿宋"/>
          <w:color w:val="auto"/>
          <w:sz w:val="36"/>
          <w:szCs w:val="36"/>
        </w:rPr>
        <w:t>附件3-13 其它资格证明文件</w:t>
      </w:r>
      <w:bookmarkEnd w:id="35"/>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1"/>
        <w:rPr>
          <w:rFonts w:hint="eastAsia" w:ascii="仿宋" w:hAnsi="仿宋" w:eastAsia="仿宋" w:cs="仿宋"/>
          <w:color w:val="auto"/>
          <w:sz w:val="24"/>
          <w:szCs w:val="24"/>
        </w:rPr>
      </w:pPr>
      <w:r>
        <w:rPr>
          <w:rFonts w:hint="eastAsia" w:ascii="仿宋" w:hAnsi="仿宋" w:eastAsia="仿宋" w:cs="仿宋"/>
          <w:b/>
          <w:color w:val="auto"/>
          <w:sz w:val="24"/>
          <w:szCs w:val="24"/>
        </w:rPr>
        <w:t>（如果有的话）</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说明：1、采购人或采购代理机构可以根据项目的特点和需要，在谈判文件“供应商的资格”中特定资格条件，对其它资格证明文件进行具体规定，供应商应按照谈判文件要求，在此项下提供相关证明材料，并加盖供应商单位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2、若谈判文件规定接受联合体形式且供应商为联合体的，涉及联合体成员的其它资格证明文件在此处提供相关证明材料，并加盖供应商单位公章。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w:t>
      </w:r>
      <w:r>
        <w:rPr>
          <w:rFonts w:hint="eastAsia" w:ascii="仿宋" w:hAnsi="仿宋" w:eastAsia="仿宋" w:cs="仿宋"/>
          <w:color w:val="auto"/>
          <w:sz w:val="24"/>
          <w:szCs w:val="24"/>
          <w:u w:val="single"/>
        </w:rPr>
        <w:t>（签字）</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供应商名称</w:t>
      </w:r>
      <w:r>
        <w:rPr>
          <w:rFonts w:hint="eastAsia" w:ascii="仿宋" w:hAnsi="仿宋" w:eastAsia="仿宋" w:cs="仿宋"/>
          <w:color w:val="auto"/>
          <w:sz w:val="24"/>
          <w:szCs w:val="24"/>
          <w:u w:val="single"/>
        </w:rPr>
        <w:t>（全称并加盖公章）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both"/>
        <w:textAlignment w:val="auto"/>
        <w:outlineLvl w:val="2"/>
        <w:rPr>
          <w:rFonts w:hint="eastAsia" w:ascii="仿宋" w:hAnsi="仿宋" w:eastAsia="仿宋" w:cs="仿宋"/>
          <w:b/>
          <w:color w:val="auto"/>
          <w:sz w:val="24"/>
          <w:szCs w:val="24"/>
        </w:rPr>
      </w:pPr>
    </w:p>
    <w:p>
      <w:pPr>
        <w:pStyle w:val="3"/>
        <w:bidi w:val="0"/>
        <w:jc w:val="center"/>
        <w:rPr>
          <w:rFonts w:hint="eastAsia" w:ascii="仿宋" w:hAnsi="仿宋" w:eastAsia="仿宋" w:cs="仿宋"/>
          <w:color w:val="auto"/>
          <w:sz w:val="36"/>
          <w:szCs w:val="36"/>
        </w:rPr>
      </w:pPr>
      <w:bookmarkStart w:id="36" w:name="_Toc29243"/>
      <w:r>
        <w:rPr>
          <w:rFonts w:hint="eastAsia" w:ascii="仿宋" w:hAnsi="仿宋" w:eastAsia="仿宋" w:cs="仿宋"/>
          <w:color w:val="auto"/>
          <w:sz w:val="36"/>
          <w:szCs w:val="36"/>
        </w:rPr>
        <w:t>附件4 谈判保证金凭证</w:t>
      </w:r>
      <w:bookmarkEnd w:id="36"/>
    </w:p>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编制说明</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在此项下提交的“谈判保证金”材料可使用转账凭证复印件或从福建省政府采购网上公开信息系统中下载的有关原始页面的打印件。通过福建省政府采购网政府采购平台“保函服务”栏目办理电子保函的，提供电子保函电子格式。</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2、谈判保证金是否已提交按照谈判文件规定执行。</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3"/>
        <w:bidi w:val="0"/>
        <w:jc w:val="center"/>
        <w:rPr>
          <w:rFonts w:hint="eastAsia" w:ascii="仿宋" w:hAnsi="仿宋" w:eastAsia="仿宋" w:cs="仿宋"/>
          <w:b/>
          <w:bCs/>
          <w:color w:val="auto"/>
          <w:kern w:val="0"/>
          <w:szCs w:val="36"/>
          <w:lang w:val="en-US" w:eastAsia="zh-CN" w:bidi="ar-SA"/>
        </w:rPr>
      </w:pPr>
      <w:bookmarkStart w:id="37" w:name="_Toc5061"/>
      <w:r>
        <w:rPr>
          <w:rFonts w:hint="eastAsia" w:ascii="仿宋" w:hAnsi="仿宋" w:eastAsia="仿宋" w:cs="仿宋"/>
          <w:color w:val="auto"/>
          <w:sz w:val="36"/>
          <w:szCs w:val="36"/>
          <w:lang w:val="en-US" w:eastAsia="zh-CN"/>
        </w:rPr>
        <w:t>附件5：技术、服务和商务响应表</w:t>
      </w:r>
      <w:bookmarkEnd w:id="37"/>
    </w:p>
    <w:p>
      <w:pPr>
        <w:pStyle w:val="3"/>
        <w:bidi w:val="0"/>
        <w:jc w:val="center"/>
        <w:rPr>
          <w:rFonts w:hint="eastAsia" w:ascii="仿宋" w:hAnsi="仿宋" w:eastAsia="仿宋" w:cs="仿宋"/>
          <w:color w:val="auto"/>
          <w:sz w:val="36"/>
          <w:szCs w:val="36"/>
          <w:lang w:val="en-US" w:eastAsia="zh-CN"/>
        </w:rPr>
      </w:pPr>
      <w:bookmarkStart w:id="38" w:name="_Toc1666"/>
      <w:r>
        <w:rPr>
          <w:rFonts w:hint="eastAsia" w:ascii="仿宋" w:hAnsi="仿宋" w:eastAsia="仿宋" w:cs="仿宋"/>
          <w:color w:val="auto"/>
          <w:sz w:val="36"/>
          <w:szCs w:val="36"/>
          <w:lang w:val="en-US" w:eastAsia="zh-CN"/>
        </w:rPr>
        <w:t>附件5-1：技术和服务要求响应表</w:t>
      </w:r>
      <w:bookmarkEnd w:id="38"/>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供应商名称：</w:t>
      </w:r>
      <w:r>
        <w:rPr>
          <w:rFonts w:hint="eastAsia" w:ascii="仿宋" w:hAnsi="仿宋" w:eastAsia="仿宋" w:cs="仿宋"/>
          <w:color w:val="auto"/>
          <w:sz w:val="24"/>
          <w:szCs w:val="24"/>
          <w:u w:val="single"/>
        </w:rPr>
        <w:t>（全称加盖单位公章）</w:t>
      </w:r>
      <w:r>
        <w:rPr>
          <w:rFonts w:hint="eastAsia" w:ascii="仿宋" w:hAnsi="仿宋" w:eastAsia="仿宋" w:cs="仿宋"/>
          <w:color w:val="auto"/>
          <w:sz w:val="24"/>
          <w:szCs w:val="24"/>
        </w:rPr>
        <w:t>项目编号∶</w:t>
      </w:r>
      <w:r>
        <w:rPr>
          <w:rFonts w:hint="eastAsia" w:ascii="仿宋" w:hAnsi="仿宋" w:eastAsia="仿宋" w:cs="仿宋"/>
          <w:color w:val="auto"/>
          <w:sz w:val="24"/>
          <w:szCs w:val="24"/>
          <w:u w:val="single"/>
        </w:rPr>
        <w:t xml:space="preserve">    </w:t>
      </w:r>
    </w:p>
    <w:tbl>
      <w:tblPr>
        <w:tblStyle w:val="2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09"/>
        <w:gridCol w:w="1519"/>
        <w:gridCol w:w="2026"/>
        <w:gridCol w:w="2026"/>
        <w:gridCol w:w="20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采购包</w:t>
            </w:r>
          </w:p>
        </w:tc>
        <w:tc>
          <w:tcPr>
            <w:tcW w:w="151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章节条目号</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竞争性谈判文件规定的技术和服务要求</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响应文件响应承诺</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keepNext w:val="0"/>
              <w:keepLines w:val="0"/>
              <w:pageBreakBefore w:val="0"/>
              <w:kinsoku/>
              <w:wordWrap/>
              <w:overflowPunct/>
              <w:topLinePunct w:val="0"/>
              <w:autoSpaceDE/>
              <w:autoSpaceDN/>
              <w:bidi w:val="0"/>
              <w:adjustRightInd/>
              <w:snapToGrid/>
              <w:spacing w:line="360" w:lineRule="atLeast"/>
              <w:textAlignment w:val="auto"/>
              <w:rPr>
                <w:rFonts w:hint="eastAsia" w:ascii="仿宋" w:hAnsi="仿宋" w:eastAsia="仿宋" w:cs="仿宋"/>
                <w:color w:val="auto"/>
                <w:sz w:val="24"/>
                <w:szCs w:val="24"/>
              </w:rPr>
            </w:pPr>
          </w:p>
        </w:tc>
        <w:tc>
          <w:tcPr>
            <w:tcW w:w="151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keepNext w:val="0"/>
              <w:keepLines w:val="0"/>
              <w:pageBreakBefore w:val="0"/>
              <w:kinsoku/>
              <w:wordWrap/>
              <w:overflowPunct/>
              <w:topLinePunct w:val="0"/>
              <w:autoSpaceDE/>
              <w:autoSpaceDN/>
              <w:bidi w:val="0"/>
              <w:adjustRightInd/>
              <w:snapToGrid/>
              <w:spacing w:line="360" w:lineRule="atLeast"/>
              <w:textAlignment w:val="auto"/>
              <w:rPr>
                <w:rFonts w:hint="eastAsia" w:ascii="仿宋" w:hAnsi="仿宋" w:eastAsia="仿宋" w:cs="仿宋"/>
                <w:color w:val="auto"/>
                <w:sz w:val="24"/>
                <w:szCs w:val="24"/>
              </w:rPr>
            </w:pPr>
          </w:p>
        </w:tc>
        <w:tc>
          <w:tcPr>
            <w:tcW w:w="151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keepNext w:val="0"/>
              <w:keepLines w:val="0"/>
              <w:pageBreakBefore w:val="0"/>
              <w:kinsoku/>
              <w:wordWrap/>
              <w:overflowPunct/>
              <w:topLinePunct w:val="0"/>
              <w:autoSpaceDE/>
              <w:autoSpaceDN/>
              <w:bidi w:val="0"/>
              <w:adjustRightInd/>
              <w:snapToGrid/>
              <w:spacing w:line="360" w:lineRule="atLeast"/>
              <w:textAlignment w:val="auto"/>
              <w:rPr>
                <w:rFonts w:hint="eastAsia" w:ascii="仿宋" w:hAnsi="仿宋" w:eastAsia="仿宋" w:cs="仿宋"/>
                <w:color w:val="auto"/>
                <w:sz w:val="24"/>
                <w:szCs w:val="24"/>
              </w:rPr>
            </w:pPr>
          </w:p>
        </w:tc>
        <w:tc>
          <w:tcPr>
            <w:tcW w:w="151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bl>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2）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b/>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供应商代表签字：</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center"/>
        <w:textAlignment w:val="auto"/>
        <w:outlineLvl w:val="2"/>
        <w:rPr>
          <w:rFonts w:hint="eastAsia" w:ascii="仿宋" w:hAnsi="仿宋" w:eastAsia="仿宋" w:cs="仿宋"/>
          <w:b/>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both"/>
        <w:textAlignment w:val="auto"/>
        <w:outlineLvl w:val="2"/>
        <w:rPr>
          <w:rFonts w:hint="eastAsia" w:ascii="仿宋" w:hAnsi="仿宋" w:eastAsia="仿宋" w:cs="仿宋"/>
          <w:b/>
          <w:color w:val="auto"/>
          <w:sz w:val="24"/>
          <w:szCs w:val="24"/>
        </w:rPr>
      </w:pPr>
    </w:p>
    <w:p>
      <w:pPr>
        <w:pStyle w:val="3"/>
        <w:bidi w:val="0"/>
        <w:jc w:val="center"/>
        <w:rPr>
          <w:rFonts w:hint="eastAsia" w:ascii="仿宋" w:hAnsi="仿宋" w:eastAsia="仿宋" w:cs="仿宋"/>
          <w:color w:val="auto"/>
          <w:szCs w:val="24"/>
        </w:rPr>
      </w:pPr>
      <w:bookmarkStart w:id="39" w:name="_Toc18862"/>
      <w:r>
        <w:rPr>
          <w:rFonts w:hint="eastAsia" w:ascii="仿宋" w:hAnsi="仿宋" w:eastAsia="仿宋" w:cs="仿宋"/>
          <w:color w:val="auto"/>
          <w:sz w:val="36"/>
          <w:szCs w:val="36"/>
          <w:lang w:val="en-US" w:eastAsia="zh-CN"/>
        </w:rPr>
        <w:t>附件5-2 商务条件和其它事项响应表</w:t>
      </w:r>
      <w:bookmarkEnd w:id="39"/>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供应商名称：</w:t>
      </w:r>
      <w:r>
        <w:rPr>
          <w:rFonts w:hint="eastAsia" w:ascii="仿宋" w:hAnsi="仿宋" w:eastAsia="仿宋" w:cs="仿宋"/>
          <w:color w:val="auto"/>
          <w:sz w:val="24"/>
          <w:szCs w:val="24"/>
          <w:u w:val="single"/>
        </w:rPr>
        <w:t>（全称加盖单位公章）</w:t>
      </w:r>
      <w:r>
        <w:rPr>
          <w:rFonts w:hint="eastAsia" w:ascii="仿宋" w:hAnsi="仿宋" w:eastAsia="仿宋" w:cs="仿宋"/>
          <w:color w:val="auto"/>
          <w:sz w:val="24"/>
          <w:szCs w:val="24"/>
        </w:rPr>
        <w:t>项目编号∶</w:t>
      </w:r>
      <w:r>
        <w:rPr>
          <w:rFonts w:hint="eastAsia" w:ascii="仿宋" w:hAnsi="仿宋" w:eastAsia="仿宋" w:cs="仿宋"/>
          <w:color w:val="auto"/>
          <w:sz w:val="24"/>
          <w:szCs w:val="24"/>
          <w:u w:val="single"/>
        </w:rPr>
        <w:t xml:space="preserve">    </w:t>
      </w:r>
    </w:p>
    <w:tbl>
      <w:tblPr>
        <w:tblStyle w:val="2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09"/>
        <w:gridCol w:w="1519"/>
        <w:gridCol w:w="2026"/>
        <w:gridCol w:w="2026"/>
        <w:gridCol w:w="202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采购包</w:t>
            </w:r>
          </w:p>
        </w:tc>
        <w:tc>
          <w:tcPr>
            <w:tcW w:w="151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章节条目号</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竞争性谈判文件规定的商务条件要求</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响应文件响应承诺</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keepNext w:val="0"/>
              <w:keepLines w:val="0"/>
              <w:pageBreakBefore w:val="0"/>
              <w:kinsoku/>
              <w:wordWrap/>
              <w:overflowPunct/>
              <w:topLinePunct w:val="0"/>
              <w:autoSpaceDE/>
              <w:autoSpaceDN/>
              <w:bidi w:val="0"/>
              <w:adjustRightInd/>
              <w:snapToGrid/>
              <w:spacing w:line="360" w:lineRule="atLeast"/>
              <w:textAlignment w:val="auto"/>
              <w:rPr>
                <w:rFonts w:hint="eastAsia" w:ascii="仿宋" w:hAnsi="仿宋" w:eastAsia="仿宋" w:cs="仿宋"/>
                <w:color w:val="auto"/>
                <w:sz w:val="24"/>
                <w:szCs w:val="24"/>
              </w:rPr>
            </w:pPr>
          </w:p>
        </w:tc>
        <w:tc>
          <w:tcPr>
            <w:tcW w:w="151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keepNext w:val="0"/>
              <w:keepLines w:val="0"/>
              <w:pageBreakBefore w:val="0"/>
              <w:kinsoku/>
              <w:wordWrap/>
              <w:overflowPunct/>
              <w:topLinePunct w:val="0"/>
              <w:autoSpaceDE/>
              <w:autoSpaceDN/>
              <w:bidi w:val="0"/>
              <w:adjustRightInd/>
              <w:snapToGrid/>
              <w:spacing w:line="360" w:lineRule="atLeast"/>
              <w:textAlignment w:val="auto"/>
              <w:rPr>
                <w:rFonts w:hint="eastAsia" w:ascii="仿宋" w:hAnsi="仿宋" w:eastAsia="仿宋" w:cs="仿宋"/>
                <w:color w:val="auto"/>
                <w:sz w:val="24"/>
                <w:szCs w:val="24"/>
              </w:rPr>
            </w:pPr>
          </w:p>
        </w:tc>
        <w:tc>
          <w:tcPr>
            <w:tcW w:w="151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09" w:type="dxa"/>
          </w:tcPr>
          <w:p>
            <w:pPr>
              <w:keepNext w:val="0"/>
              <w:keepLines w:val="0"/>
              <w:pageBreakBefore w:val="0"/>
              <w:kinsoku/>
              <w:wordWrap/>
              <w:overflowPunct/>
              <w:topLinePunct w:val="0"/>
              <w:autoSpaceDE/>
              <w:autoSpaceDN/>
              <w:bidi w:val="0"/>
              <w:adjustRightInd/>
              <w:snapToGrid/>
              <w:spacing w:line="360" w:lineRule="atLeast"/>
              <w:textAlignment w:val="auto"/>
              <w:rPr>
                <w:rFonts w:hint="eastAsia" w:ascii="仿宋" w:hAnsi="仿宋" w:eastAsia="仿宋" w:cs="仿宋"/>
                <w:color w:val="auto"/>
                <w:sz w:val="24"/>
                <w:szCs w:val="24"/>
              </w:rPr>
            </w:pPr>
          </w:p>
        </w:tc>
        <w:tc>
          <w:tcPr>
            <w:tcW w:w="1519"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2026"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bl>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注：（1）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2）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b/>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供应商代表签字：</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u w:val="single"/>
          <w:lang w:val="en-US" w:eastAsia="zh-CN"/>
        </w:rPr>
        <w:t xml:space="preserve">      </w:t>
      </w:r>
      <w:r>
        <w:rPr>
          <w:rFonts w:hint="eastAsia" w:ascii="仿宋" w:hAnsi="仿宋" w:eastAsia="仿宋" w:cs="仿宋"/>
          <w:color w:val="auto"/>
          <w:sz w:val="24"/>
          <w:szCs w:val="24"/>
          <w:u w:val="single"/>
        </w:rPr>
        <w:t xml:space="preserve">  </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3"/>
        <w:bidi w:val="0"/>
        <w:jc w:val="center"/>
        <w:rPr>
          <w:rFonts w:hint="eastAsia" w:ascii="仿宋" w:hAnsi="仿宋" w:eastAsia="仿宋" w:cs="仿宋"/>
          <w:color w:val="auto"/>
          <w:sz w:val="36"/>
          <w:szCs w:val="36"/>
          <w:lang w:val="en-US" w:eastAsia="zh-CN"/>
        </w:rPr>
      </w:pPr>
      <w:bookmarkStart w:id="40" w:name="_Toc2482"/>
      <w:r>
        <w:rPr>
          <w:rFonts w:hint="eastAsia" w:ascii="仿宋" w:hAnsi="仿宋" w:eastAsia="仿宋" w:cs="仿宋"/>
          <w:color w:val="auto"/>
          <w:sz w:val="36"/>
          <w:szCs w:val="36"/>
          <w:lang w:val="en-US" w:eastAsia="zh-CN"/>
        </w:rPr>
        <w:t>附件6 相关技术、商务、服务响应承诺及资料</w:t>
      </w:r>
      <w:bookmarkEnd w:id="40"/>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说明：</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采购人或采购代理机构可以根据项目的特点和需要，在谈判文件中对供应商需要提供的相关技术、商务、服务响应承诺及资料进行具体规定或附表格式，供应商应按照谈判文件要求提供相关承诺及材料，并加盖供应商单位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2.如果没有特别要求的，供应商根据谈判文件的要求以及特点，提供相关技术、商务、服务响应承诺及资料，格式自拟。</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w:t>
      </w:r>
      <w:r>
        <w:rPr>
          <w:rFonts w:hint="eastAsia" w:ascii="仿宋" w:hAnsi="仿宋" w:eastAsia="仿宋" w:cs="仿宋"/>
          <w:color w:val="auto"/>
          <w:sz w:val="24"/>
          <w:szCs w:val="24"/>
          <w:u w:val="single"/>
        </w:rPr>
        <w:t>（签字）</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供应商名称</w:t>
      </w:r>
      <w:r>
        <w:rPr>
          <w:rFonts w:hint="eastAsia" w:ascii="仿宋" w:hAnsi="仿宋" w:eastAsia="仿宋" w:cs="仿宋"/>
          <w:color w:val="auto"/>
          <w:sz w:val="24"/>
          <w:szCs w:val="24"/>
          <w:u w:val="single"/>
        </w:rPr>
        <w:t>（全称并加盖公章）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3"/>
        <w:bidi w:val="0"/>
        <w:jc w:val="center"/>
        <w:rPr>
          <w:rFonts w:hint="eastAsia" w:ascii="仿宋" w:hAnsi="仿宋" w:eastAsia="仿宋" w:cs="仿宋"/>
          <w:b/>
          <w:bCs/>
          <w:color w:val="auto"/>
          <w:kern w:val="0"/>
          <w:szCs w:val="36"/>
          <w:lang w:val="en-US" w:eastAsia="zh-CN" w:bidi="ar-SA"/>
        </w:rPr>
      </w:pPr>
      <w:bookmarkStart w:id="41" w:name="_Toc23041"/>
      <w:r>
        <w:rPr>
          <w:rFonts w:hint="eastAsia" w:ascii="仿宋" w:hAnsi="仿宋" w:eastAsia="仿宋" w:cs="仿宋"/>
          <w:color w:val="auto"/>
          <w:sz w:val="36"/>
          <w:szCs w:val="36"/>
          <w:lang w:val="en-US" w:eastAsia="zh-CN"/>
        </w:rPr>
        <w:t>附件7 供应商提交符合政府采购政策的证明材料</w:t>
      </w:r>
      <w:bookmarkEnd w:id="41"/>
    </w:p>
    <w:p>
      <w:pPr>
        <w:pStyle w:val="3"/>
        <w:bidi w:val="0"/>
        <w:jc w:val="center"/>
        <w:rPr>
          <w:rFonts w:hint="eastAsia" w:ascii="仿宋" w:hAnsi="仿宋" w:eastAsia="仿宋" w:cs="仿宋"/>
          <w:color w:val="auto"/>
          <w:sz w:val="36"/>
          <w:szCs w:val="36"/>
        </w:rPr>
      </w:pPr>
      <w:bookmarkStart w:id="42" w:name="_Toc28974"/>
      <w:r>
        <w:rPr>
          <w:rFonts w:hint="eastAsia" w:ascii="仿宋" w:hAnsi="仿宋" w:eastAsia="仿宋" w:cs="仿宋"/>
          <w:color w:val="auto"/>
          <w:sz w:val="36"/>
          <w:szCs w:val="36"/>
        </w:rPr>
        <w:t>附件7-1-1 中小企业声明函（如果有的话）</w:t>
      </w:r>
      <w:bookmarkEnd w:id="42"/>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中小企业声明函（货物）</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本公司</w:t>
      </w:r>
      <w:r>
        <w:rPr>
          <w:rFonts w:hint="eastAsia" w:ascii="仿宋" w:hAnsi="仿宋" w:eastAsia="仿宋" w:cs="仿宋"/>
          <w:color w:val="auto"/>
          <w:sz w:val="24"/>
          <w:szCs w:val="24"/>
          <w:u w:val="single"/>
        </w:rPr>
        <w:t>（联合体）</w:t>
      </w:r>
      <w:r>
        <w:rPr>
          <w:rFonts w:hint="eastAsia" w:ascii="仿宋" w:hAnsi="仿宋" w:eastAsia="仿宋" w:cs="仿宋"/>
          <w:color w:val="auto"/>
          <w:sz w:val="24"/>
          <w:szCs w:val="24"/>
        </w:rPr>
        <w:t>郑重声明，根据《政府采购促进中小企业发展管理办法》（财库﹝2020﹞46号）的规定，本公司</w:t>
      </w:r>
      <w:r>
        <w:rPr>
          <w:rFonts w:hint="eastAsia" w:ascii="仿宋" w:hAnsi="仿宋" w:eastAsia="仿宋" w:cs="仿宋"/>
          <w:color w:val="auto"/>
          <w:sz w:val="24"/>
          <w:szCs w:val="24"/>
          <w:u w:val="single"/>
        </w:rPr>
        <w:t>（联合体）</w:t>
      </w:r>
      <w:r>
        <w:rPr>
          <w:rFonts w:hint="eastAsia" w:ascii="仿宋" w:hAnsi="仿宋" w:eastAsia="仿宋" w:cs="仿宋"/>
          <w:color w:val="auto"/>
          <w:sz w:val="24"/>
          <w:szCs w:val="24"/>
        </w:rPr>
        <w:t>参加</w:t>
      </w:r>
      <w:r>
        <w:rPr>
          <w:rFonts w:hint="eastAsia" w:ascii="仿宋" w:hAnsi="仿宋" w:eastAsia="仿宋" w:cs="仿宋"/>
          <w:color w:val="auto"/>
          <w:sz w:val="24"/>
          <w:szCs w:val="24"/>
          <w:u w:val="single"/>
        </w:rPr>
        <w:t>（单位名称）</w:t>
      </w:r>
      <w:r>
        <w:rPr>
          <w:rFonts w:hint="eastAsia" w:ascii="仿宋" w:hAnsi="仿宋" w:eastAsia="仿宋" w:cs="仿宋"/>
          <w:color w:val="auto"/>
          <w:sz w:val="24"/>
          <w:szCs w:val="24"/>
        </w:rPr>
        <w:t>的</w:t>
      </w:r>
      <w:r>
        <w:rPr>
          <w:rFonts w:hint="eastAsia" w:ascii="仿宋" w:hAnsi="仿宋" w:eastAsia="仿宋" w:cs="仿宋"/>
          <w:color w:val="auto"/>
          <w:sz w:val="24"/>
          <w:szCs w:val="24"/>
          <w:u w:val="single"/>
        </w:rPr>
        <w:t>（项目名称）</w:t>
      </w:r>
      <w:r>
        <w:rPr>
          <w:rFonts w:hint="eastAsia" w:ascii="仿宋" w:hAnsi="仿宋" w:eastAsia="仿宋" w:cs="仿宋"/>
          <w:color w:val="auto"/>
          <w:sz w:val="24"/>
          <w:szCs w:val="24"/>
        </w:rPr>
        <w:t>采购活动，提供的货物全部由符合政策要求的中小企业制造。相关企业（含联合体中的中小企业、签订分包意向协议的中小企业）的具体情况如下：</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u w:val="single"/>
        </w:rPr>
        <w:t>（标的名称）</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rPr>
        <w:t>（采购文件中明确的所属行业）</w:t>
      </w:r>
      <w:r>
        <w:rPr>
          <w:rFonts w:hint="eastAsia" w:ascii="仿宋" w:hAnsi="仿宋" w:eastAsia="仿宋" w:cs="仿宋"/>
          <w:color w:val="auto"/>
          <w:sz w:val="24"/>
          <w:szCs w:val="24"/>
        </w:rPr>
        <w:t>行业；制造商为</w:t>
      </w:r>
      <w:r>
        <w:rPr>
          <w:rFonts w:hint="eastAsia" w:ascii="仿宋" w:hAnsi="仿宋" w:eastAsia="仿宋" w:cs="仿宋"/>
          <w:color w:val="auto"/>
          <w:sz w:val="24"/>
          <w:szCs w:val="24"/>
          <w:u w:val="single"/>
        </w:rPr>
        <w:t>（企业名称）</w:t>
      </w:r>
      <w:r>
        <w:rPr>
          <w:rFonts w:hint="eastAsia" w:ascii="仿宋" w:hAnsi="仿宋" w:eastAsia="仿宋" w:cs="仿宋"/>
          <w:color w:val="auto"/>
          <w:sz w:val="24"/>
          <w:szCs w:val="24"/>
        </w:rPr>
        <w:t>，从业人员</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人，营业收入为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万元，资产总额为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万元1，属于</w:t>
      </w:r>
      <w:r>
        <w:rPr>
          <w:rFonts w:hint="eastAsia" w:ascii="仿宋" w:hAnsi="仿宋" w:eastAsia="仿宋" w:cs="仿宋"/>
          <w:color w:val="auto"/>
          <w:sz w:val="24"/>
          <w:szCs w:val="24"/>
          <w:u w:val="single"/>
        </w:rPr>
        <w:t>（中型企业、小型企业、微型企业）</w:t>
      </w:r>
      <w:r>
        <w:rPr>
          <w:rFonts w:hint="eastAsia" w:ascii="仿宋" w:hAnsi="仿宋" w:eastAsia="仿宋" w:cs="仿宋"/>
          <w:color w:val="auto"/>
          <w:sz w:val="24"/>
          <w:szCs w:val="24"/>
        </w:rPr>
        <w:t>；</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color w:val="auto"/>
          <w:sz w:val="24"/>
          <w:szCs w:val="24"/>
          <w:u w:val="single"/>
        </w:rPr>
        <w:t>（标的名称）</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rPr>
        <w:t>（采购文件中明确的所属行业）</w:t>
      </w:r>
      <w:r>
        <w:rPr>
          <w:rFonts w:hint="eastAsia" w:ascii="仿宋" w:hAnsi="仿宋" w:eastAsia="仿宋" w:cs="仿宋"/>
          <w:color w:val="auto"/>
          <w:sz w:val="24"/>
          <w:szCs w:val="24"/>
        </w:rPr>
        <w:t>行业；制造商为</w:t>
      </w:r>
      <w:r>
        <w:rPr>
          <w:rFonts w:hint="eastAsia" w:ascii="仿宋" w:hAnsi="仿宋" w:eastAsia="仿宋" w:cs="仿宋"/>
          <w:color w:val="auto"/>
          <w:sz w:val="24"/>
          <w:szCs w:val="24"/>
          <w:u w:val="single"/>
        </w:rPr>
        <w:t>（企业名称）</w:t>
      </w:r>
      <w:r>
        <w:rPr>
          <w:rFonts w:hint="eastAsia" w:ascii="仿宋" w:hAnsi="仿宋" w:eastAsia="仿宋" w:cs="仿宋"/>
          <w:color w:val="auto"/>
          <w:sz w:val="24"/>
          <w:szCs w:val="24"/>
        </w:rPr>
        <w:t>，从业人员</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人，营业收入为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万元，资产总额为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万元1，属于</w:t>
      </w:r>
      <w:r>
        <w:rPr>
          <w:rFonts w:hint="eastAsia" w:ascii="仿宋" w:hAnsi="仿宋" w:eastAsia="仿宋" w:cs="仿宋"/>
          <w:color w:val="auto"/>
          <w:sz w:val="24"/>
          <w:szCs w:val="24"/>
          <w:u w:val="single"/>
        </w:rPr>
        <w:t>（中型企业、小型企业、微型企业）</w:t>
      </w:r>
      <w:r>
        <w:rPr>
          <w:rFonts w:hint="eastAsia" w:ascii="仿宋" w:hAnsi="仿宋" w:eastAsia="仿宋" w:cs="仿宋"/>
          <w:color w:val="auto"/>
          <w:sz w:val="24"/>
          <w:szCs w:val="24"/>
        </w:rPr>
        <w:t>；</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以上企业，不属于大企业的分支机构，不存在控股股东为大企业的情形，也不存在与大企业的负责人为同一人的情形。</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本企业对上述声明内容的真实性负责。如有虚假，将依法承担相应责任。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企业名称（盖章）：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日期：</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※注意：</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1、从业人员、营业收入、资产总额填报上一年度数据，无上一年度数据的新成立企业可不填报。</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供应商须按谈判文件中明确的所属行业填列，多品目项目中须按上表要求逐条填列，否则，其提供的中小企业声明将被判定为无效声明函，由此造成的后果由供应商自行承担（涉及资格的按无效报价处理；涉及价格评审优惠的，不予认定）。</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供应商应当对其出具的《中小企业声明函》真实性负责，供应商出具的《中小企业声明函》内容不实的，属于提供虚假材料谋取中标。在实际操作中，项目属性为货物且供应商希望获得中小企业政策支持的，应从制造商处获得充分、准确的信息。对相关制造商信息了解不充分，或者不能确定相关信息真实、准确的，不建议出具《中小企业声明函》。</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中小企业声明函（工程、服务）</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本公司</w:t>
      </w:r>
      <w:r>
        <w:rPr>
          <w:rFonts w:hint="eastAsia" w:ascii="仿宋" w:hAnsi="仿宋" w:eastAsia="仿宋" w:cs="仿宋"/>
          <w:color w:val="auto"/>
          <w:sz w:val="24"/>
          <w:szCs w:val="24"/>
          <w:u w:val="single"/>
        </w:rPr>
        <w:t>（联合体）</w:t>
      </w:r>
      <w:r>
        <w:rPr>
          <w:rFonts w:hint="eastAsia" w:ascii="仿宋" w:hAnsi="仿宋" w:eastAsia="仿宋" w:cs="仿宋"/>
          <w:color w:val="auto"/>
          <w:sz w:val="24"/>
          <w:szCs w:val="24"/>
        </w:rPr>
        <w:t>郑重声明，根据《政府采购促进中小企业发展管理办法》（财库﹝2020﹞46号）的规定，本公司</w:t>
      </w:r>
      <w:r>
        <w:rPr>
          <w:rFonts w:hint="eastAsia" w:ascii="仿宋" w:hAnsi="仿宋" w:eastAsia="仿宋" w:cs="仿宋"/>
          <w:color w:val="auto"/>
          <w:sz w:val="24"/>
          <w:szCs w:val="24"/>
          <w:u w:val="single"/>
        </w:rPr>
        <w:t>（联合体）</w:t>
      </w:r>
      <w:r>
        <w:rPr>
          <w:rFonts w:hint="eastAsia" w:ascii="仿宋" w:hAnsi="仿宋" w:eastAsia="仿宋" w:cs="仿宋"/>
          <w:color w:val="auto"/>
          <w:sz w:val="24"/>
          <w:szCs w:val="24"/>
        </w:rPr>
        <w:t>参加</w:t>
      </w:r>
      <w:r>
        <w:rPr>
          <w:rFonts w:hint="eastAsia" w:ascii="仿宋" w:hAnsi="仿宋" w:eastAsia="仿宋" w:cs="仿宋"/>
          <w:color w:val="auto"/>
          <w:sz w:val="24"/>
          <w:szCs w:val="24"/>
          <w:u w:val="single"/>
        </w:rPr>
        <w:t>（单位名称）</w:t>
      </w:r>
      <w:r>
        <w:rPr>
          <w:rFonts w:hint="eastAsia" w:ascii="仿宋" w:hAnsi="仿宋" w:eastAsia="仿宋" w:cs="仿宋"/>
          <w:color w:val="auto"/>
          <w:sz w:val="24"/>
          <w:szCs w:val="24"/>
        </w:rPr>
        <w:t>的</w:t>
      </w:r>
      <w:r>
        <w:rPr>
          <w:rFonts w:hint="eastAsia" w:ascii="仿宋" w:hAnsi="仿宋" w:eastAsia="仿宋" w:cs="仿宋"/>
          <w:color w:val="auto"/>
          <w:sz w:val="24"/>
          <w:szCs w:val="24"/>
          <w:u w:val="single"/>
        </w:rPr>
        <w:t>（项目名称）</w:t>
      </w:r>
      <w:r>
        <w:rPr>
          <w:rFonts w:hint="eastAsia" w:ascii="仿宋" w:hAnsi="仿宋" w:eastAsia="仿宋" w:cs="仿宋"/>
          <w:color w:val="auto"/>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u w:val="single"/>
        </w:rPr>
        <w:t>（标的名称）</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rPr>
        <w:t>（采购文件中明确的所属行业）</w:t>
      </w:r>
      <w:r>
        <w:rPr>
          <w:rFonts w:hint="eastAsia" w:ascii="仿宋" w:hAnsi="仿宋" w:eastAsia="仿宋" w:cs="仿宋"/>
          <w:color w:val="auto"/>
          <w:sz w:val="24"/>
          <w:szCs w:val="24"/>
        </w:rPr>
        <w:t>行业；承建（承接）企业为</w:t>
      </w:r>
      <w:r>
        <w:rPr>
          <w:rFonts w:hint="eastAsia" w:ascii="仿宋" w:hAnsi="仿宋" w:eastAsia="仿宋" w:cs="仿宋"/>
          <w:color w:val="auto"/>
          <w:sz w:val="24"/>
          <w:szCs w:val="24"/>
          <w:u w:val="single"/>
        </w:rPr>
        <w:t>（企业名称）</w:t>
      </w:r>
      <w:r>
        <w:rPr>
          <w:rFonts w:hint="eastAsia" w:ascii="仿宋" w:hAnsi="仿宋" w:eastAsia="仿宋" w:cs="仿宋"/>
          <w:color w:val="auto"/>
          <w:sz w:val="24"/>
          <w:szCs w:val="24"/>
        </w:rPr>
        <w:t>，从业人员</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人，营业收入为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万元，资产总额为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万元1，属于</w:t>
      </w:r>
      <w:r>
        <w:rPr>
          <w:rFonts w:hint="eastAsia" w:ascii="仿宋" w:hAnsi="仿宋" w:eastAsia="仿宋" w:cs="仿宋"/>
          <w:color w:val="auto"/>
          <w:sz w:val="24"/>
          <w:szCs w:val="24"/>
          <w:u w:val="single"/>
        </w:rPr>
        <w:t>（中型企业、小型企业、微型企业）</w:t>
      </w:r>
      <w:r>
        <w:rPr>
          <w:rFonts w:hint="eastAsia" w:ascii="仿宋" w:hAnsi="仿宋" w:eastAsia="仿宋" w:cs="仿宋"/>
          <w:color w:val="auto"/>
          <w:sz w:val="24"/>
          <w:szCs w:val="24"/>
        </w:rPr>
        <w:t>；</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u w:val="single"/>
        </w:rPr>
        <w:t>（标的名称）</w:t>
      </w:r>
      <w:r>
        <w:rPr>
          <w:rFonts w:hint="eastAsia" w:ascii="仿宋" w:hAnsi="仿宋" w:eastAsia="仿宋" w:cs="仿宋"/>
          <w:color w:val="auto"/>
          <w:sz w:val="24"/>
          <w:szCs w:val="24"/>
        </w:rPr>
        <w:t>，属于</w:t>
      </w:r>
      <w:r>
        <w:rPr>
          <w:rFonts w:hint="eastAsia" w:ascii="仿宋" w:hAnsi="仿宋" w:eastAsia="仿宋" w:cs="仿宋"/>
          <w:color w:val="auto"/>
          <w:sz w:val="24"/>
          <w:szCs w:val="24"/>
          <w:u w:val="single"/>
        </w:rPr>
        <w:t>（采购文件中明确的所属行业）</w:t>
      </w:r>
      <w:r>
        <w:rPr>
          <w:rFonts w:hint="eastAsia" w:ascii="仿宋" w:hAnsi="仿宋" w:eastAsia="仿宋" w:cs="仿宋"/>
          <w:color w:val="auto"/>
          <w:sz w:val="24"/>
          <w:szCs w:val="24"/>
        </w:rPr>
        <w:t>行业；承建（承接）企业为</w:t>
      </w:r>
      <w:r>
        <w:rPr>
          <w:rFonts w:hint="eastAsia" w:ascii="仿宋" w:hAnsi="仿宋" w:eastAsia="仿宋" w:cs="仿宋"/>
          <w:color w:val="auto"/>
          <w:sz w:val="24"/>
          <w:szCs w:val="24"/>
          <w:u w:val="single"/>
        </w:rPr>
        <w:t>（企业名称）</w:t>
      </w:r>
      <w:r>
        <w:rPr>
          <w:rFonts w:hint="eastAsia" w:ascii="仿宋" w:hAnsi="仿宋" w:eastAsia="仿宋" w:cs="仿宋"/>
          <w:color w:val="auto"/>
          <w:sz w:val="24"/>
          <w:szCs w:val="24"/>
        </w:rPr>
        <w:t>，从业人员</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人，营业收入为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万元，资产总额为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万元1，属于</w:t>
      </w:r>
      <w:r>
        <w:rPr>
          <w:rFonts w:hint="eastAsia" w:ascii="仿宋" w:hAnsi="仿宋" w:eastAsia="仿宋" w:cs="仿宋"/>
          <w:color w:val="auto"/>
          <w:sz w:val="24"/>
          <w:szCs w:val="24"/>
          <w:u w:val="single"/>
        </w:rPr>
        <w:t>（中型企业、小型企业、微型企业）</w:t>
      </w:r>
      <w:r>
        <w:rPr>
          <w:rFonts w:hint="eastAsia" w:ascii="仿宋" w:hAnsi="仿宋" w:eastAsia="仿宋" w:cs="仿宋"/>
          <w:color w:val="auto"/>
          <w:sz w:val="24"/>
          <w:szCs w:val="24"/>
        </w:rPr>
        <w:t>；</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以上企业，不属于大企业的分支机构，不存在控股股东为大企业的情形，也不存在与大企业的负责人为同一人的情形。</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本企业对上述声明内容的真实性负责。如有虚假，将依法承担相应责任。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企业名称（盖章）：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日期：</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※注意：</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1、从业人员、营业收入、资产总额填报上一年度数据，无上一年度数据的新成立企业可不填报。</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供应商须按谈判文件中明确的所属行业填列，多品目项目中须按上表要求逐条填列，否则，其提供的中小企业声明将被判定为无效声明函，由此造成的后果由供应商自行承担（涉及资格的按无效报价处理；涉及价格评审优惠的，不予认定）。</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供应商应当对其出具的《中小企业声明函》真实性负责，供应商出具的《中小企业声明函》内容不实的，属于提供虚假材料谋取中标。在实际操作中，项目属性为货物且供应商希望获得中小企业政策支持的，应从制造商处获得充分、准确的信息。对相关制造商信息了解不充分，或者不能确定相关信息真实、准确的，不建议出具《中小企业声明函》。</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3"/>
        <w:bidi w:val="0"/>
        <w:jc w:val="center"/>
        <w:rPr>
          <w:rFonts w:hint="eastAsia" w:ascii="仿宋" w:hAnsi="仿宋" w:eastAsia="仿宋" w:cs="仿宋"/>
          <w:color w:val="auto"/>
          <w:sz w:val="36"/>
          <w:szCs w:val="36"/>
          <w:lang w:val="en-US" w:eastAsia="zh-CN"/>
        </w:rPr>
      </w:pPr>
      <w:bookmarkStart w:id="43" w:name="_Toc10184"/>
      <w:r>
        <w:rPr>
          <w:rFonts w:hint="eastAsia" w:ascii="仿宋" w:hAnsi="仿宋" w:eastAsia="仿宋" w:cs="仿宋"/>
          <w:color w:val="auto"/>
          <w:sz w:val="36"/>
          <w:szCs w:val="36"/>
          <w:lang w:val="en-US" w:eastAsia="zh-CN"/>
        </w:rPr>
        <w:t>附件7-1-2 残疾人福利性单位声明函（如果有的话）</w:t>
      </w:r>
      <w:bookmarkEnd w:id="43"/>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供应商郑重声明，根据《财政部、民政部、中国残疾人联合会关于促进残疾人就业政府采购政策的通知》（财库[2017]141号）、《政府采购促进中小企业发展管理办法》（财库〔2020〕46号）的规定，本供应商为符合条件的残疾人福利性单位，且本供应商参加贵单位的</w:t>
      </w:r>
      <w:r>
        <w:rPr>
          <w:rFonts w:hint="eastAsia" w:ascii="仿宋" w:hAnsi="仿宋" w:eastAsia="仿宋" w:cs="仿宋"/>
          <w:color w:val="auto"/>
          <w:sz w:val="24"/>
          <w:szCs w:val="24"/>
          <w:u w:val="single"/>
        </w:rPr>
        <w:t>（填写“项目名称”）</w:t>
      </w:r>
      <w:r>
        <w:rPr>
          <w:rFonts w:hint="eastAsia" w:ascii="仿宋" w:hAnsi="仿宋" w:eastAsia="仿宋" w:cs="仿宋"/>
          <w:color w:val="auto"/>
          <w:sz w:val="24"/>
          <w:szCs w:val="24"/>
        </w:rPr>
        <w:t>项目采购活动：</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（）提供本供应商制造的</w:t>
      </w:r>
      <w:r>
        <w:rPr>
          <w:rFonts w:hint="eastAsia" w:ascii="仿宋" w:hAnsi="仿宋" w:eastAsia="仿宋" w:cs="仿宋"/>
          <w:color w:val="auto"/>
          <w:sz w:val="24"/>
          <w:szCs w:val="24"/>
          <w:u w:val="single"/>
        </w:rPr>
        <w:t>（填写“所投采购包、品目号”）</w:t>
      </w:r>
      <w:r>
        <w:rPr>
          <w:rFonts w:hint="eastAsia" w:ascii="仿宋" w:hAnsi="仿宋" w:eastAsia="仿宋" w:cs="仿宋"/>
          <w:color w:val="auto"/>
          <w:sz w:val="24"/>
          <w:szCs w:val="24"/>
        </w:rPr>
        <w:t>货物，或提供其他残疾人福利性单位制造的</w:t>
      </w:r>
      <w:r>
        <w:rPr>
          <w:rFonts w:hint="eastAsia" w:ascii="仿宋" w:hAnsi="仿宋" w:eastAsia="仿宋" w:cs="仿宋"/>
          <w:color w:val="auto"/>
          <w:sz w:val="24"/>
          <w:szCs w:val="24"/>
          <w:u w:val="single"/>
        </w:rPr>
        <w:t>（不包括使用非残疾人福利性单位注册商标的货物）</w:t>
      </w:r>
      <w:r>
        <w:rPr>
          <w:rFonts w:hint="eastAsia" w:ascii="仿宋" w:hAnsi="仿宋" w:eastAsia="仿宋" w:cs="仿宋"/>
          <w:color w:val="auto"/>
          <w:sz w:val="24"/>
          <w:szCs w:val="24"/>
        </w:rPr>
        <w:t>货物。（说明：只有部分货物由残疾人福利企业制造的，在该货物后标★）</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（）由本供应商承建的</w:t>
      </w:r>
      <w:r>
        <w:rPr>
          <w:rFonts w:hint="eastAsia" w:ascii="仿宋" w:hAnsi="仿宋" w:eastAsia="仿宋" w:cs="仿宋"/>
          <w:color w:val="auto"/>
          <w:sz w:val="24"/>
          <w:szCs w:val="24"/>
          <w:u w:val="single"/>
        </w:rPr>
        <w:t>（填写“所投采购包、品目号”）</w:t>
      </w:r>
      <w:r>
        <w:rPr>
          <w:rFonts w:hint="eastAsia" w:ascii="仿宋" w:hAnsi="仿宋" w:eastAsia="仿宋" w:cs="仿宋"/>
          <w:color w:val="auto"/>
          <w:sz w:val="24"/>
          <w:szCs w:val="24"/>
        </w:rPr>
        <w:t>工程</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（）由本供应商承接的</w:t>
      </w:r>
      <w:r>
        <w:rPr>
          <w:rFonts w:hint="eastAsia" w:ascii="仿宋" w:hAnsi="仿宋" w:eastAsia="仿宋" w:cs="仿宋"/>
          <w:color w:val="auto"/>
          <w:sz w:val="24"/>
          <w:szCs w:val="24"/>
          <w:u w:val="single"/>
        </w:rPr>
        <w:t>（填写“所投采购包、品目号”）</w:t>
      </w:r>
      <w:r>
        <w:rPr>
          <w:rFonts w:hint="eastAsia" w:ascii="仿宋" w:hAnsi="仿宋" w:eastAsia="仿宋" w:cs="仿宋"/>
          <w:color w:val="auto"/>
          <w:sz w:val="24"/>
          <w:szCs w:val="24"/>
        </w:rPr>
        <w:t>服务；</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本供应商对上述声明的真实性负责。如有虚假，将依法承担相应责任。</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w:t>
      </w:r>
      <w:r>
        <w:rPr>
          <w:rFonts w:hint="eastAsia" w:ascii="仿宋" w:hAnsi="仿宋" w:eastAsia="仿宋" w:cs="仿宋"/>
          <w:color w:val="auto"/>
          <w:sz w:val="24"/>
          <w:szCs w:val="24"/>
          <w:u w:val="single"/>
        </w:rPr>
        <w:t>（签字）</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供应商名称</w:t>
      </w:r>
      <w:r>
        <w:rPr>
          <w:rFonts w:hint="eastAsia" w:ascii="仿宋" w:hAnsi="仿宋" w:eastAsia="仿宋" w:cs="仿宋"/>
          <w:color w:val="auto"/>
          <w:sz w:val="24"/>
          <w:szCs w:val="24"/>
          <w:u w:val="single"/>
        </w:rPr>
        <w:t>（全称并加盖公章）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备注：（1）若供应商不符合残疾人福利性单位，不用提供本声明函，否则视为提供虚假材料。供应商在提交最后报价前，如果已向</w:t>
      </w:r>
      <w:r>
        <w:rPr>
          <w:rFonts w:hint="eastAsia" w:ascii="仿宋" w:hAnsi="仿宋" w:eastAsia="仿宋" w:cs="仿宋"/>
          <w:color w:val="auto"/>
          <w:sz w:val="24"/>
          <w:szCs w:val="24"/>
          <w:lang w:eastAsia="zh-CN"/>
        </w:rPr>
        <w:t>谈判</w:t>
      </w:r>
      <w:r>
        <w:rPr>
          <w:rFonts w:hint="eastAsia" w:ascii="仿宋" w:hAnsi="仿宋" w:eastAsia="仿宋" w:cs="仿宋"/>
          <w:color w:val="auto"/>
          <w:sz w:val="24"/>
          <w:szCs w:val="24"/>
        </w:rPr>
        <w:t>小组提交上述声明函，视同为供应商符合残疾人福利性单位，享受价格扣除的优惠政策。</w:t>
      </w:r>
    </w:p>
    <w:p>
      <w:pPr>
        <w:pStyle w:val="43"/>
        <w:keepNext w:val="0"/>
        <w:keepLines w:val="0"/>
        <w:pageBreakBefore w:val="0"/>
        <w:kinsoku/>
        <w:wordWrap/>
        <w:overflowPunct/>
        <w:topLinePunct w:val="0"/>
        <w:autoSpaceDE/>
        <w:autoSpaceDN/>
        <w:bidi w:val="0"/>
        <w:adjustRightInd/>
        <w:snapToGrid/>
        <w:spacing w:line="360" w:lineRule="atLeas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（2）请供应商按照实际情况编制填写本声明函，并在相应的（）中打“√”。</w:t>
      </w:r>
    </w:p>
    <w:p>
      <w:pPr>
        <w:pStyle w:val="43"/>
        <w:keepNext w:val="0"/>
        <w:keepLines w:val="0"/>
        <w:pageBreakBefore w:val="0"/>
        <w:kinsoku/>
        <w:wordWrap/>
        <w:overflowPunct/>
        <w:topLinePunct w:val="0"/>
        <w:autoSpaceDE/>
        <w:autoSpaceDN/>
        <w:bidi w:val="0"/>
        <w:adjustRightInd/>
        <w:snapToGrid/>
        <w:spacing w:line="360" w:lineRule="atLeas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（3）纸质响应文件正本中的本声明函（若有）应为原件。</w:t>
      </w:r>
    </w:p>
    <w:p>
      <w:pPr>
        <w:pStyle w:val="43"/>
        <w:keepNext w:val="0"/>
        <w:keepLines w:val="0"/>
        <w:pageBreakBefore w:val="0"/>
        <w:kinsoku/>
        <w:wordWrap/>
        <w:overflowPunct/>
        <w:topLinePunct w:val="0"/>
        <w:autoSpaceDE/>
        <w:autoSpaceDN/>
        <w:bidi w:val="0"/>
        <w:adjustRightInd/>
        <w:snapToGrid/>
        <w:spacing w:line="360" w:lineRule="atLeast"/>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（4）若《残疾人福利性单位声明函》内容不真实，视为提供虚假材料。</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3"/>
        <w:bidi w:val="0"/>
        <w:jc w:val="center"/>
        <w:rPr>
          <w:rFonts w:hint="eastAsia" w:ascii="仿宋" w:hAnsi="仿宋" w:eastAsia="仿宋" w:cs="仿宋"/>
          <w:b/>
          <w:bCs/>
          <w:color w:val="auto"/>
          <w:kern w:val="0"/>
          <w:szCs w:val="30"/>
          <w:lang w:val="en-US" w:eastAsia="zh-CN" w:bidi="ar-SA"/>
        </w:rPr>
      </w:pPr>
      <w:bookmarkStart w:id="44" w:name="_Toc4679"/>
      <w:r>
        <w:rPr>
          <w:rFonts w:hint="eastAsia" w:ascii="仿宋" w:hAnsi="仿宋" w:eastAsia="仿宋" w:cs="仿宋"/>
          <w:color w:val="auto"/>
          <w:sz w:val="36"/>
          <w:szCs w:val="36"/>
          <w:lang w:val="en-US" w:eastAsia="zh-CN"/>
        </w:rPr>
        <w:t>附件7-1-3 监狱企业证明材料</w:t>
      </w:r>
      <w:bookmarkEnd w:id="44"/>
    </w:p>
    <w:p>
      <w:pPr>
        <w:pStyle w:val="43"/>
        <w:keepNext w:val="0"/>
        <w:keepLines w:val="0"/>
        <w:pageBreakBefore w:val="0"/>
        <w:kinsoku/>
        <w:wordWrap/>
        <w:overflowPunct/>
        <w:topLinePunct w:val="0"/>
        <w:autoSpaceDE/>
        <w:autoSpaceDN/>
        <w:bidi w:val="0"/>
        <w:adjustRightInd/>
        <w:snapToGrid/>
        <w:spacing w:line="360" w:lineRule="atLeast"/>
        <w:jc w:val="left"/>
        <w:textAlignment w:val="auto"/>
        <w:outlineLvl w:val="2"/>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供应商为监狱企业，提供本单位制造的货物（承接的服务），并在响应文件中提供省级以上监狱管理局、戒毒管理局（含新疆生产建设兵团）出具的属于监狱企业的证明文件。</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3"/>
        <w:bidi w:val="0"/>
        <w:jc w:val="center"/>
        <w:rPr>
          <w:rFonts w:hint="eastAsia" w:ascii="仿宋" w:hAnsi="仿宋" w:eastAsia="仿宋" w:cs="仿宋"/>
          <w:color w:val="auto"/>
          <w:szCs w:val="24"/>
        </w:rPr>
      </w:pPr>
      <w:bookmarkStart w:id="45" w:name="_Toc24532"/>
      <w:r>
        <w:rPr>
          <w:rFonts w:hint="eastAsia" w:ascii="仿宋" w:hAnsi="仿宋" w:eastAsia="仿宋" w:cs="仿宋"/>
          <w:color w:val="auto"/>
          <w:sz w:val="36"/>
          <w:szCs w:val="36"/>
          <w:lang w:val="en-US" w:eastAsia="zh-CN"/>
        </w:rPr>
        <w:t>附件7-2优先类节能产品、环境标志产品价格扣除证明材料（如果有的话）</w:t>
      </w:r>
      <w:bookmarkEnd w:id="45"/>
    </w:p>
    <w:tbl>
      <w:tblPr>
        <w:tblStyle w:val="20"/>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831"/>
        <w:gridCol w:w="1661"/>
        <w:gridCol w:w="1661"/>
        <w:gridCol w:w="1661"/>
        <w:gridCol w:w="831"/>
        <w:gridCol w:w="8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keepNext w:val="0"/>
              <w:keepLines w:val="0"/>
              <w:pageBreakBefore w:val="0"/>
              <w:kinsoku/>
              <w:wordWrap/>
              <w:overflowPunct/>
              <w:topLinePunct w:val="0"/>
              <w:autoSpaceDE/>
              <w:autoSpaceDN/>
              <w:bidi w:val="0"/>
              <w:adjustRightInd/>
              <w:snapToGrid/>
              <w:spacing w:line="360" w:lineRule="atLeast"/>
              <w:textAlignment w:val="auto"/>
              <w:rPr>
                <w:rFonts w:hint="eastAsia" w:ascii="仿宋" w:hAnsi="仿宋" w:eastAsia="仿宋" w:cs="仿宋"/>
                <w:color w:val="auto"/>
                <w:sz w:val="24"/>
                <w:szCs w:val="24"/>
              </w:rPr>
            </w:pPr>
          </w:p>
        </w:tc>
        <w:tc>
          <w:tcPr>
            <w:tcW w:w="7476" w:type="dxa"/>
            <w:gridSpan w:val="6"/>
          </w:tcPr>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采购包</w:t>
            </w:r>
          </w:p>
        </w:tc>
        <w:tc>
          <w:tcPr>
            <w:tcW w:w="831" w:type="dxa"/>
          </w:tcPr>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品目号</w:t>
            </w:r>
          </w:p>
        </w:tc>
        <w:tc>
          <w:tcPr>
            <w:tcW w:w="1661" w:type="dxa"/>
          </w:tcPr>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产品名称</w:t>
            </w:r>
          </w:p>
        </w:tc>
        <w:tc>
          <w:tcPr>
            <w:tcW w:w="1661" w:type="dxa"/>
          </w:tcPr>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最后报价单（现场）</w:t>
            </w:r>
          </w:p>
        </w:tc>
        <w:tc>
          <w:tcPr>
            <w:tcW w:w="1661" w:type="dxa"/>
          </w:tcPr>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数量</w:t>
            </w:r>
          </w:p>
        </w:tc>
        <w:tc>
          <w:tcPr>
            <w:tcW w:w="831" w:type="dxa"/>
          </w:tcPr>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最后报价总价（现场）</w:t>
            </w:r>
          </w:p>
        </w:tc>
        <w:tc>
          <w:tcPr>
            <w:tcW w:w="831" w:type="dxa"/>
          </w:tcPr>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restart"/>
          </w:tcPr>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831" w:type="dxa"/>
          </w:tcPr>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661"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1661"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1661"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831"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831"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vMerge w:val="continue"/>
          </w:tcPr>
          <w:p>
            <w:pPr>
              <w:keepNext w:val="0"/>
              <w:keepLines w:val="0"/>
              <w:pageBreakBefore w:val="0"/>
              <w:kinsoku/>
              <w:wordWrap/>
              <w:overflowPunct/>
              <w:topLinePunct w:val="0"/>
              <w:autoSpaceDE/>
              <w:autoSpaceDN/>
              <w:bidi w:val="0"/>
              <w:adjustRightInd/>
              <w:snapToGrid/>
              <w:spacing w:line="360" w:lineRule="atLeast"/>
              <w:textAlignment w:val="auto"/>
              <w:rPr>
                <w:rFonts w:hint="eastAsia" w:ascii="仿宋" w:hAnsi="仿宋" w:eastAsia="仿宋" w:cs="仿宋"/>
                <w:color w:val="auto"/>
                <w:sz w:val="24"/>
                <w:szCs w:val="24"/>
              </w:rPr>
            </w:pPr>
          </w:p>
        </w:tc>
        <w:tc>
          <w:tcPr>
            <w:tcW w:w="831" w:type="dxa"/>
          </w:tcPr>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w:t>
            </w:r>
          </w:p>
        </w:tc>
        <w:tc>
          <w:tcPr>
            <w:tcW w:w="1661"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1661"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1661"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831"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c>
          <w:tcPr>
            <w:tcW w:w="831" w:type="dxa"/>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43"/>
              <w:keepNext w:val="0"/>
              <w:keepLines w:val="0"/>
              <w:pageBreakBefore w:val="0"/>
              <w:kinsoku/>
              <w:wordWrap/>
              <w:overflowPunct/>
              <w:topLinePunct w:val="0"/>
              <w:autoSpaceDE/>
              <w:autoSpaceDN/>
              <w:bidi w:val="0"/>
              <w:adjustRightInd/>
              <w:snapToGrid/>
              <w:spacing w:line="360" w:lineRule="atLeas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c>
          <w:tcPr>
            <w:tcW w:w="7476" w:type="dxa"/>
            <w:gridSpan w:val="6"/>
          </w:tcPr>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a.采购包内属于节能、环境标志产品的报价总金额：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b.采购包投标总价（报价总金额）：</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c.“采购包内属于节能、环境标志产品的报价总金额”占“采购包投标总价（报价总金额）”的比例（以%列示）：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p>
        </w:tc>
      </w:tr>
    </w:tbl>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※注意：</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1、对“节能、环境标志产品”计算价格扣除时，只依据响应文件提交的材料。</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2、本表以采购包为单位，不同采购包请分别填写；单个采购包请按照其品目号顺序分别填写。</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3、具体统计、计算：</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3.1若同一采购包内的单个或多个货物取得或同时取得节能、环境标志产品等两项或多项认证的，均按照单个货物对应一项认证的原则统计、计算1次。</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3.2计算结果若除不尽，可四舍五入保留到小数点后两位。</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3.3供应商应按照谈判文件上表要求认真统计、计算，否则谈判小组可不予认定。</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3.4若无节能、环境标志产品，不填写本表，否则，视为提供虚假材料。</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3.5强制类节能产品不享受价格扣除。</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w:t>
      </w:r>
      <w:r>
        <w:rPr>
          <w:rFonts w:hint="eastAsia" w:ascii="仿宋" w:hAnsi="仿宋" w:eastAsia="仿宋" w:cs="仿宋"/>
          <w:color w:val="auto"/>
          <w:sz w:val="24"/>
          <w:szCs w:val="24"/>
          <w:u w:val="single"/>
        </w:rPr>
        <w:t>（签字）</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43"/>
        <w:keepNext w:val="0"/>
        <w:keepLines w:val="0"/>
        <w:pageBreakBefore w:val="0"/>
        <w:kinsoku/>
        <w:wordWrap/>
        <w:overflowPunct/>
        <w:topLinePunct w:val="0"/>
        <w:autoSpaceDE/>
        <w:autoSpaceDN/>
        <w:bidi w:val="0"/>
        <w:adjustRightInd/>
        <w:snapToGrid/>
        <w:spacing w:line="360" w:lineRule="atLeast"/>
        <w:jc w:val="left"/>
        <w:textAlignment w:val="auto"/>
        <w:rPr>
          <w:rFonts w:hint="eastAsia" w:ascii="仿宋" w:hAnsi="仿宋" w:eastAsia="仿宋" w:cs="仿宋"/>
          <w:color w:val="auto"/>
          <w:sz w:val="24"/>
          <w:szCs w:val="24"/>
        </w:rPr>
      </w:pPr>
    </w:p>
    <w:p>
      <w:pPr>
        <w:pStyle w:val="3"/>
        <w:bidi w:val="0"/>
        <w:jc w:val="center"/>
        <w:rPr>
          <w:rFonts w:hint="eastAsia" w:ascii="仿宋" w:hAnsi="仿宋" w:eastAsia="仿宋" w:cs="仿宋"/>
          <w:color w:val="auto"/>
          <w:sz w:val="36"/>
          <w:szCs w:val="36"/>
          <w:lang w:val="en-US" w:eastAsia="zh-CN"/>
        </w:rPr>
      </w:pPr>
      <w:bookmarkStart w:id="46" w:name="_Toc26690"/>
      <w:r>
        <w:rPr>
          <w:rFonts w:hint="eastAsia" w:ascii="仿宋" w:hAnsi="仿宋" w:eastAsia="仿宋" w:cs="仿宋"/>
          <w:color w:val="auto"/>
          <w:sz w:val="36"/>
          <w:szCs w:val="36"/>
          <w:lang w:val="en-US" w:eastAsia="zh-CN"/>
        </w:rPr>
        <w:t>附件8 要求作为响应文件组成部分的其他内容（若有）</w:t>
      </w:r>
      <w:bookmarkEnd w:id="46"/>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说明：</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采购人或采购代理机构可以根据项目的特点和需要，在谈判文件中对要求作为响应文件组成部分的其他内容进行具体规定或附表格式，供应商应按照谈判文件要求提供相关承诺及材料，并加盖供应商单位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2、供应商根据自身实际情况编写有关资料包括如供应商单位简介、竞争性谈判文件要求提供或供应商自已认为体现自身优势，需要补充说明的其它资料，格式自拟。</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lang w:eastAsia="zh-CN"/>
        </w:rPr>
      </w:pP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供应商代表</w:t>
      </w:r>
      <w:r>
        <w:rPr>
          <w:rFonts w:hint="eastAsia" w:ascii="仿宋" w:hAnsi="仿宋" w:eastAsia="仿宋" w:cs="仿宋"/>
          <w:color w:val="auto"/>
          <w:sz w:val="24"/>
          <w:szCs w:val="24"/>
          <w:u w:val="single"/>
        </w:rPr>
        <w:t>（签字）</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供应商名称</w:t>
      </w:r>
      <w:r>
        <w:rPr>
          <w:rFonts w:hint="eastAsia" w:ascii="仿宋" w:hAnsi="仿宋" w:eastAsia="仿宋" w:cs="仿宋"/>
          <w:color w:val="auto"/>
          <w:sz w:val="24"/>
          <w:szCs w:val="24"/>
          <w:u w:val="single"/>
        </w:rPr>
        <w:t>（全称并加盖公章）</w:t>
      </w:r>
    </w:p>
    <w:p>
      <w:pPr>
        <w:pStyle w:val="43"/>
        <w:keepNext w:val="0"/>
        <w:keepLines w:val="0"/>
        <w:pageBreakBefore w:val="0"/>
        <w:kinsoku/>
        <w:wordWrap/>
        <w:overflowPunct/>
        <w:topLinePunct w:val="0"/>
        <w:autoSpaceDE/>
        <w:autoSpaceDN/>
        <w:bidi w:val="0"/>
        <w:adjustRightInd/>
        <w:snapToGrid/>
        <w:spacing w:line="360" w:lineRule="atLeast"/>
        <w:ind w:firstLine="48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日期：</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pStyle w:val="17"/>
        <w:keepNext w:val="0"/>
        <w:keepLines w:val="0"/>
        <w:pageBreakBefore w:val="0"/>
        <w:widowControl/>
        <w:kinsoku/>
        <w:wordWrap/>
        <w:overflowPunct/>
        <w:topLinePunct w:val="0"/>
        <w:autoSpaceDE/>
        <w:autoSpaceDN/>
        <w:bidi w:val="0"/>
        <w:adjustRightInd/>
        <w:snapToGrid/>
        <w:spacing w:before="75" w:beforeAutospacing="0" w:after="75" w:afterAutospacing="0" w:line="360" w:lineRule="atLeast"/>
        <w:textAlignment w:val="auto"/>
        <w:rPr>
          <w:rFonts w:ascii="仿宋" w:hAnsi="仿宋" w:eastAsia="仿宋" w:cs="仿宋"/>
          <w:color w:val="auto"/>
          <w:sz w:val="24"/>
        </w:rPr>
      </w:pPr>
    </w:p>
    <w:sectPr>
      <w:headerReference r:id="rId4" w:type="default"/>
      <w:footerReference r:id="rId5" w:type="default"/>
      <w:pgSz w:w="11906" w:h="16838"/>
      <w:pgMar w:top="1440" w:right="1558" w:bottom="993"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4656"/>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D09A1F"/>
    <w:multiLevelType w:val="singleLevel"/>
    <w:tmpl w:val="95D09A1F"/>
    <w:lvl w:ilvl="0" w:tentative="0">
      <w:start w:val="1"/>
      <w:numFmt w:val="decimal"/>
      <w:suff w:val="nothing"/>
      <w:lvlText w:val="（%1）"/>
      <w:lvlJc w:val="left"/>
    </w:lvl>
  </w:abstractNum>
  <w:abstractNum w:abstractNumId="1">
    <w:nsid w:val="AE150BDE"/>
    <w:multiLevelType w:val="singleLevel"/>
    <w:tmpl w:val="AE150BDE"/>
    <w:lvl w:ilvl="0" w:tentative="0">
      <w:start w:val="12"/>
      <w:numFmt w:val="decimal"/>
      <w:lvlText w:val="%1."/>
      <w:lvlJc w:val="left"/>
      <w:pPr>
        <w:tabs>
          <w:tab w:val="left" w:pos="312"/>
        </w:tabs>
      </w:pPr>
    </w:lvl>
  </w:abstractNum>
  <w:abstractNum w:abstractNumId="2">
    <w:nsid w:val="D14A939E"/>
    <w:multiLevelType w:val="singleLevel"/>
    <w:tmpl w:val="D14A939E"/>
    <w:lvl w:ilvl="0" w:tentative="0">
      <w:start w:val="1"/>
      <w:numFmt w:val="decimal"/>
      <w:suff w:val="nothing"/>
      <w:lvlText w:val="（%1）"/>
      <w:lvlJc w:val="left"/>
    </w:lvl>
  </w:abstractNum>
  <w:abstractNum w:abstractNumId="3">
    <w:nsid w:val="0CD27D2B"/>
    <w:multiLevelType w:val="multilevel"/>
    <w:tmpl w:val="0CD27D2B"/>
    <w:lvl w:ilvl="0" w:tentative="0">
      <w:start w:val="1"/>
      <w:numFmt w:val="chineseCountingThousand"/>
      <w:lvlText w:val="第%1章 "/>
      <w:lvlJc w:val="left"/>
      <w:pPr>
        <w:ind w:left="0" w:firstLine="0"/>
      </w:pPr>
      <w:rPr>
        <w:rFonts w:hint="eastAsia"/>
        <w:b w:val="0"/>
        <w:bCs w:val="0"/>
        <w:i w:val="0"/>
        <w:iCs w:val="0"/>
        <w:caps w:val="0"/>
        <w:smallCaps w:val="0"/>
        <w:strike w:val="0"/>
        <w:dstrike w:val="0"/>
        <w:vanish w:val="0"/>
        <w:color w:val="000000"/>
        <w:spacing w:val="0"/>
        <w:position w:val="0"/>
        <w:u w:val="none"/>
        <w:vertAlign w:val="baseline"/>
      </w:rPr>
    </w:lvl>
    <w:lvl w:ilvl="1" w:tentative="0">
      <w:start w:val="2"/>
      <w:numFmt w:val="chineseCountingThousand"/>
      <w:lvlText w:val="%2."/>
      <w:lvlJc w:val="left"/>
      <w:pPr>
        <w:ind w:left="709" w:hanging="567"/>
      </w:pPr>
      <w:rPr>
        <w:rFonts w:hint="eastAsia"/>
        <w:b w:val="0"/>
        <w:bCs w:val="0"/>
        <w:i w:val="0"/>
        <w:iCs w:val="0"/>
        <w:caps w:val="0"/>
        <w:smallCaps w:val="0"/>
        <w:strike w:val="0"/>
        <w:dstrike w:val="0"/>
        <w:vanish w:val="0"/>
        <w:color w:val="000000"/>
        <w:spacing w:val="0"/>
        <w:position w:val="0"/>
        <w:u w:val="none"/>
        <w:vertAlign w:val="baseline"/>
      </w:rPr>
    </w:lvl>
    <w:lvl w:ilvl="2" w:tentative="0">
      <w:start w:val="2"/>
      <w:numFmt w:val="decimal"/>
      <w:lvlText w:val="%3."/>
      <w:lvlJc w:val="left"/>
      <w:pPr>
        <w:ind w:left="0" w:firstLine="0"/>
      </w:pPr>
      <w:rPr>
        <w:rFonts w:hint="eastAsia"/>
        <w:b w:val="0"/>
        <w:bCs w:val="0"/>
        <w:i w:val="0"/>
        <w:iCs w:val="0"/>
        <w:caps w:val="0"/>
        <w:smallCaps w:val="0"/>
        <w:strike w:val="0"/>
        <w:dstrike w:val="0"/>
        <w:vanish w:val="0"/>
        <w:spacing w:val="0"/>
        <w:position w:val="0"/>
        <w:u w:val="none"/>
        <w:vertAlign w:val="baseline"/>
      </w:rPr>
    </w:lvl>
    <w:lvl w:ilvl="3" w:tentative="0">
      <w:start w:val="1"/>
      <w:numFmt w:val="decimal"/>
      <w:lvlText w:val="%3.%4."/>
      <w:lvlJc w:val="left"/>
      <w:pPr>
        <w:ind w:left="851" w:hanging="851"/>
      </w:pPr>
      <w:rPr>
        <w:rFonts w:hint="eastAsia"/>
        <w:b w:val="0"/>
        <w:bCs w:val="0"/>
        <w:i w:val="0"/>
        <w:iCs w:val="0"/>
        <w:caps w:val="0"/>
        <w:smallCaps w:val="0"/>
        <w:strike w:val="0"/>
        <w:dstrike w:val="0"/>
        <w:vanish w:val="0"/>
        <w:spacing w:val="0"/>
        <w:position w:val="0"/>
        <w:u w:val="none"/>
        <w:vertAlign w:val="baseline"/>
      </w:rPr>
    </w:lvl>
    <w:lvl w:ilvl="4" w:tentative="0">
      <w:start w:val="1"/>
      <w:numFmt w:val="decimal"/>
      <w:pStyle w:val="6"/>
      <w:lvlText w:val="%3.%4.%5."/>
      <w:lvlJc w:val="left"/>
      <w:pPr>
        <w:ind w:left="1134" w:hanging="1134"/>
      </w:pPr>
      <w:rPr>
        <w:rFonts w:hint="eastAsia"/>
        <w:b w:val="0"/>
        <w:bCs w:val="0"/>
        <w:i w:val="0"/>
        <w:iCs w:val="0"/>
        <w:caps w:val="0"/>
        <w:smallCaps w:val="0"/>
        <w:strike w:val="0"/>
        <w:dstrike w:val="0"/>
        <w:vanish w:val="0"/>
        <w:spacing w:val="0"/>
        <w:position w:val="0"/>
        <w:u w:val="none"/>
        <w:vertAlign w:val="baseline"/>
      </w:rPr>
    </w:lvl>
    <w:lvl w:ilvl="5" w:tentative="0">
      <w:start w:val="1"/>
      <w:numFmt w:val="decimal"/>
      <w:pStyle w:val="7"/>
      <w:lvlText w:val="%3.%4.%5.%6."/>
      <w:lvlJc w:val="left"/>
      <w:pPr>
        <w:ind w:left="1531" w:hanging="1531"/>
      </w:pPr>
      <w:rPr>
        <w:rFonts w:hint="eastAsia"/>
        <w:b w:val="0"/>
        <w:bCs w:val="0"/>
        <w:i w:val="0"/>
        <w:iCs w:val="0"/>
        <w:caps w:val="0"/>
        <w:smallCaps w:val="0"/>
        <w:strike w:val="0"/>
        <w:dstrike w:val="0"/>
        <w:vanish w:val="0"/>
        <w:spacing w:val="0"/>
        <w:position w:val="0"/>
        <w:u w:val="none"/>
        <w:vertAlign w:val="baseline"/>
      </w:rPr>
    </w:lvl>
    <w:lvl w:ilvl="6" w:tentative="0">
      <w:start w:val="1"/>
      <w:numFmt w:val="decimal"/>
      <w:lvlText w:val="%3.%4.%5.%6.%7"/>
      <w:lvlJc w:val="left"/>
      <w:pPr>
        <w:ind w:left="1871" w:hanging="1871"/>
      </w:pPr>
      <w:rPr>
        <w:rFonts w:hint="eastAsia"/>
        <w:b w:val="0"/>
        <w:bCs w:val="0"/>
        <w:i w:val="0"/>
        <w:iCs w:val="0"/>
        <w:caps w:val="0"/>
        <w:smallCaps w:val="0"/>
        <w:strike w:val="0"/>
        <w:dstrike w:val="0"/>
        <w:vanish w:val="0"/>
        <w:spacing w:val="0"/>
        <w:position w:val="0"/>
        <w:u w:val="none"/>
        <w:vertAlign w:val="baseline"/>
      </w:rPr>
    </w:lvl>
    <w:lvl w:ilvl="7" w:tentative="0">
      <w:start w:val="1"/>
      <w:numFmt w:val="decimal"/>
      <w:lvlText w:val="%3.%4.%5.%6.%7.%8"/>
      <w:lvlJc w:val="left"/>
      <w:pPr>
        <w:ind w:left="2155" w:hanging="2155"/>
      </w:pPr>
      <w:rPr>
        <w:rFonts w:hint="eastAsia"/>
        <w:b w:val="0"/>
        <w:bCs w:val="0"/>
        <w:i w:val="0"/>
        <w:iCs w:val="0"/>
        <w:caps w:val="0"/>
        <w:smallCaps w:val="0"/>
        <w:strike w:val="0"/>
        <w:dstrike w:val="0"/>
        <w:vanish w:val="0"/>
        <w:spacing w:val="0"/>
        <w:position w:val="0"/>
        <w:u w:val="none"/>
        <w:vertAlign w:val="baseline"/>
      </w:rPr>
    </w:lvl>
    <w:lvl w:ilvl="8" w:tentative="0">
      <w:start w:val="1"/>
      <w:numFmt w:val="decimal"/>
      <w:lvlText w:val="%3.%4.%5.%6.%7.%8.%9"/>
      <w:lvlJc w:val="left"/>
      <w:pPr>
        <w:ind w:left="2552" w:hanging="2552"/>
      </w:pPr>
      <w:rPr>
        <w:rFonts w:hint="eastAsia"/>
        <w:b w:val="0"/>
        <w:bCs w:val="0"/>
        <w:i w:val="0"/>
        <w:iCs w:val="0"/>
        <w:caps w:val="0"/>
        <w:smallCaps w:val="0"/>
        <w:strike w:val="0"/>
        <w:dstrike w:val="0"/>
        <w:vanish w:val="0"/>
        <w:color w:val="000000"/>
        <w:spacing w:val="0"/>
        <w:position w:val="0"/>
        <w:u w:val="none"/>
        <w:vertAlign w:val="baseline"/>
      </w:rPr>
    </w:lvl>
  </w:abstractNum>
  <w:abstractNum w:abstractNumId="4">
    <w:nsid w:val="18B5685D"/>
    <w:multiLevelType w:val="singleLevel"/>
    <w:tmpl w:val="18B5685D"/>
    <w:lvl w:ilvl="0" w:tentative="0">
      <w:start w:val="1"/>
      <w:numFmt w:val="decimal"/>
      <w:suff w:val="nothing"/>
      <w:lvlText w:val="（%1）"/>
      <w:lvlJc w:val="left"/>
    </w:lvl>
  </w:abstractNum>
  <w:abstractNum w:abstractNumId="5">
    <w:nsid w:val="4E5A0745"/>
    <w:multiLevelType w:val="multilevel"/>
    <w:tmpl w:val="4E5A0745"/>
    <w:lvl w:ilvl="0" w:tentative="0">
      <w:start w:val="2"/>
      <w:numFmt w:val="decimal"/>
      <w:pStyle w:val="5"/>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8520F8A"/>
    <w:multiLevelType w:val="singleLevel"/>
    <w:tmpl w:val="68520F8A"/>
    <w:lvl w:ilvl="0" w:tentative="0">
      <w:start w:val="1"/>
      <w:numFmt w:val="decimal"/>
      <w:suff w:val="nothing"/>
      <w:lvlText w:val="（%1）"/>
      <w:lvlJc w:val="left"/>
      <w:pPr>
        <w:ind w:left="-60"/>
      </w:p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4ODQ3M2RhNTdmYTc5M2U4ZjJjNzY1YzZmN2E3ODIifQ=="/>
  </w:docVars>
  <w:rsids>
    <w:rsidRoot w:val="00A416D9"/>
    <w:rsid w:val="00002339"/>
    <w:rsid w:val="0000381E"/>
    <w:rsid w:val="00012140"/>
    <w:rsid w:val="0001787F"/>
    <w:rsid w:val="00031A0B"/>
    <w:rsid w:val="00031BF4"/>
    <w:rsid w:val="00033E3A"/>
    <w:rsid w:val="00051AEC"/>
    <w:rsid w:val="000528D1"/>
    <w:rsid w:val="00052E9E"/>
    <w:rsid w:val="000624F9"/>
    <w:rsid w:val="000666A0"/>
    <w:rsid w:val="00066E46"/>
    <w:rsid w:val="00070440"/>
    <w:rsid w:val="00084C40"/>
    <w:rsid w:val="00085520"/>
    <w:rsid w:val="00091711"/>
    <w:rsid w:val="00092E17"/>
    <w:rsid w:val="00094D8F"/>
    <w:rsid w:val="00095DE7"/>
    <w:rsid w:val="00097D7E"/>
    <w:rsid w:val="000A1CB3"/>
    <w:rsid w:val="000A6401"/>
    <w:rsid w:val="000B6F6D"/>
    <w:rsid w:val="000C0344"/>
    <w:rsid w:val="000C0610"/>
    <w:rsid w:val="000C3559"/>
    <w:rsid w:val="000C5741"/>
    <w:rsid w:val="000D1463"/>
    <w:rsid w:val="000D3841"/>
    <w:rsid w:val="000E3943"/>
    <w:rsid w:val="000E6507"/>
    <w:rsid w:val="000E7CB3"/>
    <w:rsid w:val="000F4EBB"/>
    <w:rsid w:val="00105ED1"/>
    <w:rsid w:val="00107D70"/>
    <w:rsid w:val="00110FEB"/>
    <w:rsid w:val="00112F34"/>
    <w:rsid w:val="00121A66"/>
    <w:rsid w:val="00125EEA"/>
    <w:rsid w:val="00127428"/>
    <w:rsid w:val="00133A98"/>
    <w:rsid w:val="00135EC1"/>
    <w:rsid w:val="00136DF9"/>
    <w:rsid w:val="0015194C"/>
    <w:rsid w:val="00153CD2"/>
    <w:rsid w:val="001569B1"/>
    <w:rsid w:val="00162AFE"/>
    <w:rsid w:val="00163CED"/>
    <w:rsid w:val="00163DCE"/>
    <w:rsid w:val="0016510E"/>
    <w:rsid w:val="00173893"/>
    <w:rsid w:val="00177678"/>
    <w:rsid w:val="0018001E"/>
    <w:rsid w:val="00180A9D"/>
    <w:rsid w:val="00183CA3"/>
    <w:rsid w:val="00184917"/>
    <w:rsid w:val="00194AAA"/>
    <w:rsid w:val="00194C2B"/>
    <w:rsid w:val="00196324"/>
    <w:rsid w:val="001A0C48"/>
    <w:rsid w:val="001A15CB"/>
    <w:rsid w:val="001A3903"/>
    <w:rsid w:val="001A42E7"/>
    <w:rsid w:val="001A784B"/>
    <w:rsid w:val="001B217A"/>
    <w:rsid w:val="001B21FB"/>
    <w:rsid w:val="001B6902"/>
    <w:rsid w:val="001C3B57"/>
    <w:rsid w:val="001D3E47"/>
    <w:rsid w:val="001D7E38"/>
    <w:rsid w:val="001E59B0"/>
    <w:rsid w:val="001E67A6"/>
    <w:rsid w:val="001F4F6A"/>
    <w:rsid w:val="00204D35"/>
    <w:rsid w:val="00205D52"/>
    <w:rsid w:val="00217408"/>
    <w:rsid w:val="00220C8B"/>
    <w:rsid w:val="00220D7F"/>
    <w:rsid w:val="00221A55"/>
    <w:rsid w:val="00223099"/>
    <w:rsid w:val="00225507"/>
    <w:rsid w:val="0022584E"/>
    <w:rsid w:val="0023301D"/>
    <w:rsid w:val="00233E60"/>
    <w:rsid w:val="002538D7"/>
    <w:rsid w:val="002551A9"/>
    <w:rsid w:val="002614DE"/>
    <w:rsid w:val="00263D10"/>
    <w:rsid w:val="0026432F"/>
    <w:rsid w:val="00271F73"/>
    <w:rsid w:val="002733E4"/>
    <w:rsid w:val="002747DD"/>
    <w:rsid w:val="00274AE0"/>
    <w:rsid w:val="00277491"/>
    <w:rsid w:val="00283C40"/>
    <w:rsid w:val="00287C7E"/>
    <w:rsid w:val="00292F42"/>
    <w:rsid w:val="002A02BE"/>
    <w:rsid w:val="002A1D12"/>
    <w:rsid w:val="002A4D01"/>
    <w:rsid w:val="002A559D"/>
    <w:rsid w:val="002B652A"/>
    <w:rsid w:val="002C0401"/>
    <w:rsid w:val="002C1B54"/>
    <w:rsid w:val="002C316C"/>
    <w:rsid w:val="002C3C1A"/>
    <w:rsid w:val="002C5D47"/>
    <w:rsid w:val="002D175C"/>
    <w:rsid w:val="002D4168"/>
    <w:rsid w:val="002D6F0E"/>
    <w:rsid w:val="002D7353"/>
    <w:rsid w:val="002E2203"/>
    <w:rsid w:val="002E588F"/>
    <w:rsid w:val="002E65A4"/>
    <w:rsid w:val="002F007A"/>
    <w:rsid w:val="002F00D6"/>
    <w:rsid w:val="002F143B"/>
    <w:rsid w:val="002F4BD6"/>
    <w:rsid w:val="00303B71"/>
    <w:rsid w:val="00307AFC"/>
    <w:rsid w:val="003105D1"/>
    <w:rsid w:val="00310CCA"/>
    <w:rsid w:val="00314750"/>
    <w:rsid w:val="00314A56"/>
    <w:rsid w:val="00322464"/>
    <w:rsid w:val="003255FF"/>
    <w:rsid w:val="00332184"/>
    <w:rsid w:val="00334046"/>
    <w:rsid w:val="00335646"/>
    <w:rsid w:val="00340982"/>
    <w:rsid w:val="00341378"/>
    <w:rsid w:val="00342EA8"/>
    <w:rsid w:val="00351AD2"/>
    <w:rsid w:val="003522DF"/>
    <w:rsid w:val="003607A3"/>
    <w:rsid w:val="003608DF"/>
    <w:rsid w:val="0036588F"/>
    <w:rsid w:val="00370CD6"/>
    <w:rsid w:val="00372A44"/>
    <w:rsid w:val="003739FC"/>
    <w:rsid w:val="0037687A"/>
    <w:rsid w:val="003770D8"/>
    <w:rsid w:val="00386357"/>
    <w:rsid w:val="00390EE6"/>
    <w:rsid w:val="00391493"/>
    <w:rsid w:val="003923D6"/>
    <w:rsid w:val="00396FDE"/>
    <w:rsid w:val="00397BC4"/>
    <w:rsid w:val="003A19B5"/>
    <w:rsid w:val="003B056B"/>
    <w:rsid w:val="003B1DC2"/>
    <w:rsid w:val="003B2EC4"/>
    <w:rsid w:val="003C0D0A"/>
    <w:rsid w:val="003C5332"/>
    <w:rsid w:val="003C60AB"/>
    <w:rsid w:val="003D1327"/>
    <w:rsid w:val="003D2F3B"/>
    <w:rsid w:val="003D60B6"/>
    <w:rsid w:val="003D7447"/>
    <w:rsid w:val="003D7DFD"/>
    <w:rsid w:val="003E1554"/>
    <w:rsid w:val="003E43C4"/>
    <w:rsid w:val="003E7384"/>
    <w:rsid w:val="003F0D2B"/>
    <w:rsid w:val="003F3008"/>
    <w:rsid w:val="00405C20"/>
    <w:rsid w:val="00413EA1"/>
    <w:rsid w:val="0042303B"/>
    <w:rsid w:val="00424772"/>
    <w:rsid w:val="00430392"/>
    <w:rsid w:val="00431C9B"/>
    <w:rsid w:val="0043379D"/>
    <w:rsid w:val="00435B2B"/>
    <w:rsid w:val="00435EE4"/>
    <w:rsid w:val="00436F29"/>
    <w:rsid w:val="00443E3E"/>
    <w:rsid w:val="004460AD"/>
    <w:rsid w:val="00450410"/>
    <w:rsid w:val="004528E7"/>
    <w:rsid w:val="00461C87"/>
    <w:rsid w:val="00465E13"/>
    <w:rsid w:val="00467FD1"/>
    <w:rsid w:val="004701F5"/>
    <w:rsid w:val="0047218B"/>
    <w:rsid w:val="004771F9"/>
    <w:rsid w:val="004816B1"/>
    <w:rsid w:val="00485975"/>
    <w:rsid w:val="00485FCA"/>
    <w:rsid w:val="0048704B"/>
    <w:rsid w:val="00490D3B"/>
    <w:rsid w:val="004A0ADD"/>
    <w:rsid w:val="004A0FB0"/>
    <w:rsid w:val="004A132D"/>
    <w:rsid w:val="004A1A4A"/>
    <w:rsid w:val="004A735B"/>
    <w:rsid w:val="004A77F3"/>
    <w:rsid w:val="004B55B6"/>
    <w:rsid w:val="004B6198"/>
    <w:rsid w:val="004C30C2"/>
    <w:rsid w:val="004C3303"/>
    <w:rsid w:val="004C4CD7"/>
    <w:rsid w:val="004C5E35"/>
    <w:rsid w:val="004C74B4"/>
    <w:rsid w:val="004C7713"/>
    <w:rsid w:val="004D3D25"/>
    <w:rsid w:val="004E28D9"/>
    <w:rsid w:val="004E37CE"/>
    <w:rsid w:val="004F08C6"/>
    <w:rsid w:val="004F2568"/>
    <w:rsid w:val="004F364D"/>
    <w:rsid w:val="004F49D0"/>
    <w:rsid w:val="00500087"/>
    <w:rsid w:val="0050064D"/>
    <w:rsid w:val="00504A4A"/>
    <w:rsid w:val="00511E0C"/>
    <w:rsid w:val="005175F3"/>
    <w:rsid w:val="00517875"/>
    <w:rsid w:val="005255A0"/>
    <w:rsid w:val="005304D2"/>
    <w:rsid w:val="005307C1"/>
    <w:rsid w:val="00534D72"/>
    <w:rsid w:val="00535239"/>
    <w:rsid w:val="00541186"/>
    <w:rsid w:val="00543082"/>
    <w:rsid w:val="005451DE"/>
    <w:rsid w:val="00545839"/>
    <w:rsid w:val="00556D23"/>
    <w:rsid w:val="0056065D"/>
    <w:rsid w:val="005612E0"/>
    <w:rsid w:val="0056756B"/>
    <w:rsid w:val="00571271"/>
    <w:rsid w:val="00571CB5"/>
    <w:rsid w:val="00572E13"/>
    <w:rsid w:val="00586B17"/>
    <w:rsid w:val="005877A3"/>
    <w:rsid w:val="005A56B5"/>
    <w:rsid w:val="005C0891"/>
    <w:rsid w:val="005C6E62"/>
    <w:rsid w:val="005D0297"/>
    <w:rsid w:val="005D252C"/>
    <w:rsid w:val="005D3E39"/>
    <w:rsid w:val="005D77DA"/>
    <w:rsid w:val="005E3804"/>
    <w:rsid w:val="005E61BD"/>
    <w:rsid w:val="005E7E67"/>
    <w:rsid w:val="005F2A7C"/>
    <w:rsid w:val="00614259"/>
    <w:rsid w:val="00614B69"/>
    <w:rsid w:val="00615579"/>
    <w:rsid w:val="00620C1D"/>
    <w:rsid w:val="00626CB7"/>
    <w:rsid w:val="00627F11"/>
    <w:rsid w:val="00630CB8"/>
    <w:rsid w:val="0063302A"/>
    <w:rsid w:val="00636BC8"/>
    <w:rsid w:val="006435DC"/>
    <w:rsid w:val="00647DFB"/>
    <w:rsid w:val="0065521B"/>
    <w:rsid w:val="0065620A"/>
    <w:rsid w:val="00657DA6"/>
    <w:rsid w:val="00660714"/>
    <w:rsid w:val="006631CC"/>
    <w:rsid w:val="00663890"/>
    <w:rsid w:val="00663DF5"/>
    <w:rsid w:val="00673678"/>
    <w:rsid w:val="00676FD3"/>
    <w:rsid w:val="006817DC"/>
    <w:rsid w:val="00682F58"/>
    <w:rsid w:val="00692CBE"/>
    <w:rsid w:val="00694594"/>
    <w:rsid w:val="006A1090"/>
    <w:rsid w:val="006A2FAF"/>
    <w:rsid w:val="006A3BBA"/>
    <w:rsid w:val="006A42D2"/>
    <w:rsid w:val="006A5F32"/>
    <w:rsid w:val="006B6256"/>
    <w:rsid w:val="006C0001"/>
    <w:rsid w:val="006C76DD"/>
    <w:rsid w:val="006E1C27"/>
    <w:rsid w:val="006E64CC"/>
    <w:rsid w:val="006F1569"/>
    <w:rsid w:val="006F3E3B"/>
    <w:rsid w:val="006F4F86"/>
    <w:rsid w:val="007075E0"/>
    <w:rsid w:val="00710C50"/>
    <w:rsid w:val="007150ED"/>
    <w:rsid w:val="00716DCC"/>
    <w:rsid w:val="00716EE3"/>
    <w:rsid w:val="00717E48"/>
    <w:rsid w:val="0072316F"/>
    <w:rsid w:val="0072634C"/>
    <w:rsid w:val="007300C1"/>
    <w:rsid w:val="0073072D"/>
    <w:rsid w:val="00731D62"/>
    <w:rsid w:val="00734C59"/>
    <w:rsid w:val="00735693"/>
    <w:rsid w:val="007444AA"/>
    <w:rsid w:val="00750330"/>
    <w:rsid w:val="00751826"/>
    <w:rsid w:val="00762649"/>
    <w:rsid w:val="00765F38"/>
    <w:rsid w:val="00766CB7"/>
    <w:rsid w:val="00767785"/>
    <w:rsid w:val="007740CA"/>
    <w:rsid w:val="00775695"/>
    <w:rsid w:val="00785F5D"/>
    <w:rsid w:val="007901A5"/>
    <w:rsid w:val="0079248A"/>
    <w:rsid w:val="0079797C"/>
    <w:rsid w:val="007A420C"/>
    <w:rsid w:val="007A4A03"/>
    <w:rsid w:val="007A7D0F"/>
    <w:rsid w:val="007B6482"/>
    <w:rsid w:val="007B7C68"/>
    <w:rsid w:val="007C7B41"/>
    <w:rsid w:val="007D1A25"/>
    <w:rsid w:val="007D4BF0"/>
    <w:rsid w:val="007E17DB"/>
    <w:rsid w:val="007E38C8"/>
    <w:rsid w:val="007F03BE"/>
    <w:rsid w:val="007F1FB9"/>
    <w:rsid w:val="008122FD"/>
    <w:rsid w:val="00820A1D"/>
    <w:rsid w:val="00833D1E"/>
    <w:rsid w:val="008378DE"/>
    <w:rsid w:val="0084512C"/>
    <w:rsid w:val="008572F7"/>
    <w:rsid w:val="00861A3E"/>
    <w:rsid w:val="00865D17"/>
    <w:rsid w:val="00872B68"/>
    <w:rsid w:val="00873115"/>
    <w:rsid w:val="00875FAE"/>
    <w:rsid w:val="008819B3"/>
    <w:rsid w:val="00881E8C"/>
    <w:rsid w:val="00885A3C"/>
    <w:rsid w:val="00885BD3"/>
    <w:rsid w:val="008914F9"/>
    <w:rsid w:val="00891D27"/>
    <w:rsid w:val="0089438D"/>
    <w:rsid w:val="00895E18"/>
    <w:rsid w:val="008966D0"/>
    <w:rsid w:val="008A32BD"/>
    <w:rsid w:val="008B12EE"/>
    <w:rsid w:val="008B1448"/>
    <w:rsid w:val="008B490B"/>
    <w:rsid w:val="008D04D0"/>
    <w:rsid w:val="008D399D"/>
    <w:rsid w:val="008E3851"/>
    <w:rsid w:val="008E5575"/>
    <w:rsid w:val="008E5D79"/>
    <w:rsid w:val="008E6A8D"/>
    <w:rsid w:val="008E6D82"/>
    <w:rsid w:val="008F35AC"/>
    <w:rsid w:val="008F4CF8"/>
    <w:rsid w:val="008F6441"/>
    <w:rsid w:val="00900014"/>
    <w:rsid w:val="00900963"/>
    <w:rsid w:val="00900AA7"/>
    <w:rsid w:val="00913279"/>
    <w:rsid w:val="00913EBF"/>
    <w:rsid w:val="0091438A"/>
    <w:rsid w:val="0091455C"/>
    <w:rsid w:val="009248CB"/>
    <w:rsid w:val="00924D7A"/>
    <w:rsid w:val="0093368A"/>
    <w:rsid w:val="00934E9E"/>
    <w:rsid w:val="00944FE1"/>
    <w:rsid w:val="00951897"/>
    <w:rsid w:val="00952FBA"/>
    <w:rsid w:val="00964D4C"/>
    <w:rsid w:val="0097046C"/>
    <w:rsid w:val="00971301"/>
    <w:rsid w:val="00982AB3"/>
    <w:rsid w:val="0098342E"/>
    <w:rsid w:val="0098371B"/>
    <w:rsid w:val="009A046B"/>
    <w:rsid w:val="009A3795"/>
    <w:rsid w:val="009A4B21"/>
    <w:rsid w:val="009A6553"/>
    <w:rsid w:val="009A77BA"/>
    <w:rsid w:val="009B0CE1"/>
    <w:rsid w:val="009B23A1"/>
    <w:rsid w:val="009B3542"/>
    <w:rsid w:val="009B7633"/>
    <w:rsid w:val="009C2775"/>
    <w:rsid w:val="009C360E"/>
    <w:rsid w:val="009C67BD"/>
    <w:rsid w:val="009D27CB"/>
    <w:rsid w:val="009D6999"/>
    <w:rsid w:val="009D69C3"/>
    <w:rsid w:val="009E0CD4"/>
    <w:rsid w:val="009E295B"/>
    <w:rsid w:val="009E7847"/>
    <w:rsid w:val="009F01CF"/>
    <w:rsid w:val="00A1565B"/>
    <w:rsid w:val="00A312F1"/>
    <w:rsid w:val="00A328B1"/>
    <w:rsid w:val="00A33711"/>
    <w:rsid w:val="00A349F5"/>
    <w:rsid w:val="00A416D9"/>
    <w:rsid w:val="00A41D75"/>
    <w:rsid w:val="00A44B3E"/>
    <w:rsid w:val="00A548DE"/>
    <w:rsid w:val="00A562D0"/>
    <w:rsid w:val="00A57871"/>
    <w:rsid w:val="00A6369C"/>
    <w:rsid w:val="00A648A1"/>
    <w:rsid w:val="00A6506F"/>
    <w:rsid w:val="00A7003E"/>
    <w:rsid w:val="00A739C7"/>
    <w:rsid w:val="00A770E4"/>
    <w:rsid w:val="00A843BC"/>
    <w:rsid w:val="00A87D0D"/>
    <w:rsid w:val="00A91442"/>
    <w:rsid w:val="00A97939"/>
    <w:rsid w:val="00AA4D0F"/>
    <w:rsid w:val="00AA658A"/>
    <w:rsid w:val="00AB5442"/>
    <w:rsid w:val="00AC0FAA"/>
    <w:rsid w:val="00AC42CC"/>
    <w:rsid w:val="00AC6D42"/>
    <w:rsid w:val="00AC7E39"/>
    <w:rsid w:val="00AE1204"/>
    <w:rsid w:val="00AE1C53"/>
    <w:rsid w:val="00AE716A"/>
    <w:rsid w:val="00AE7943"/>
    <w:rsid w:val="00AF03B9"/>
    <w:rsid w:val="00AF670A"/>
    <w:rsid w:val="00AF6B89"/>
    <w:rsid w:val="00B04A68"/>
    <w:rsid w:val="00B05913"/>
    <w:rsid w:val="00B069DF"/>
    <w:rsid w:val="00B11A17"/>
    <w:rsid w:val="00B11FAE"/>
    <w:rsid w:val="00B17B28"/>
    <w:rsid w:val="00B20366"/>
    <w:rsid w:val="00B21EFC"/>
    <w:rsid w:val="00B228C3"/>
    <w:rsid w:val="00B2357B"/>
    <w:rsid w:val="00B263F8"/>
    <w:rsid w:val="00B30FEB"/>
    <w:rsid w:val="00B33FCF"/>
    <w:rsid w:val="00B375CD"/>
    <w:rsid w:val="00B37E86"/>
    <w:rsid w:val="00B4159C"/>
    <w:rsid w:val="00B43719"/>
    <w:rsid w:val="00B44CEB"/>
    <w:rsid w:val="00B44D76"/>
    <w:rsid w:val="00B460F5"/>
    <w:rsid w:val="00B53520"/>
    <w:rsid w:val="00B564B5"/>
    <w:rsid w:val="00B63CE3"/>
    <w:rsid w:val="00B6544F"/>
    <w:rsid w:val="00B67603"/>
    <w:rsid w:val="00B7171D"/>
    <w:rsid w:val="00B761F3"/>
    <w:rsid w:val="00B76DFA"/>
    <w:rsid w:val="00B77210"/>
    <w:rsid w:val="00B80DB1"/>
    <w:rsid w:val="00B80FBE"/>
    <w:rsid w:val="00B868B3"/>
    <w:rsid w:val="00B8723E"/>
    <w:rsid w:val="00B9253D"/>
    <w:rsid w:val="00B93C0A"/>
    <w:rsid w:val="00B9514C"/>
    <w:rsid w:val="00BA3701"/>
    <w:rsid w:val="00BA66AF"/>
    <w:rsid w:val="00BB0B6D"/>
    <w:rsid w:val="00BB1B13"/>
    <w:rsid w:val="00BB24E4"/>
    <w:rsid w:val="00BC3A20"/>
    <w:rsid w:val="00BC7012"/>
    <w:rsid w:val="00BD232D"/>
    <w:rsid w:val="00BD4E88"/>
    <w:rsid w:val="00BD7605"/>
    <w:rsid w:val="00BD7B51"/>
    <w:rsid w:val="00BE0467"/>
    <w:rsid w:val="00BE0B91"/>
    <w:rsid w:val="00BE4590"/>
    <w:rsid w:val="00BE48DC"/>
    <w:rsid w:val="00BF0BDD"/>
    <w:rsid w:val="00BF24E8"/>
    <w:rsid w:val="00BF446C"/>
    <w:rsid w:val="00BF67EB"/>
    <w:rsid w:val="00C11D84"/>
    <w:rsid w:val="00C133D5"/>
    <w:rsid w:val="00C14939"/>
    <w:rsid w:val="00C27816"/>
    <w:rsid w:val="00C41261"/>
    <w:rsid w:val="00C44852"/>
    <w:rsid w:val="00C448C8"/>
    <w:rsid w:val="00C46437"/>
    <w:rsid w:val="00C4685C"/>
    <w:rsid w:val="00C51529"/>
    <w:rsid w:val="00C517AE"/>
    <w:rsid w:val="00C536C1"/>
    <w:rsid w:val="00C53BB3"/>
    <w:rsid w:val="00C54AA2"/>
    <w:rsid w:val="00C606FF"/>
    <w:rsid w:val="00C64EBD"/>
    <w:rsid w:val="00C67248"/>
    <w:rsid w:val="00C71DAC"/>
    <w:rsid w:val="00C7212E"/>
    <w:rsid w:val="00C74583"/>
    <w:rsid w:val="00C75179"/>
    <w:rsid w:val="00C80C89"/>
    <w:rsid w:val="00C818DD"/>
    <w:rsid w:val="00C86245"/>
    <w:rsid w:val="00C9245F"/>
    <w:rsid w:val="00C97A8E"/>
    <w:rsid w:val="00CA63AA"/>
    <w:rsid w:val="00CA71C0"/>
    <w:rsid w:val="00CB1773"/>
    <w:rsid w:val="00CB4C09"/>
    <w:rsid w:val="00CB70B4"/>
    <w:rsid w:val="00CC236B"/>
    <w:rsid w:val="00CC705D"/>
    <w:rsid w:val="00CD538E"/>
    <w:rsid w:val="00CD6690"/>
    <w:rsid w:val="00CE0DEF"/>
    <w:rsid w:val="00CE3114"/>
    <w:rsid w:val="00CE433D"/>
    <w:rsid w:val="00CE59F7"/>
    <w:rsid w:val="00CF0360"/>
    <w:rsid w:val="00CF1B5C"/>
    <w:rsid w:val="00CF3AE5"/>
    <w:rsid w:val="00CF6F44"/>
    <w:rsid w:val="00CF7AE0"/>
    <w:rsid w:val="00D00B83"/>
    <w:rsid w:val="00D01AE2"/>
    <w:rsid w:val="00D027CA"/>
    <w:rsid w:val="00D04AAE"/>
    <w:rsid w:val="00D04FBE"/>
    <w:rsid w:val="00D2061F"/>
    <w:rsid w:val="00D3044C"/>
    <w:rsid w:val="00D35580"/>
    <w:rsid w:val="00D36215"/>
    <w:rsid w:val="00D37115"/>
    <w:rsid w:val="00D41B87"/>
    <w:rsid w:val="00D43BE3"/>
    <w:rsid w:val="00D43C17"/>
    <w:rsid w:val="00D457E5"/>
    <w:rsid w:val="00D47FAC"/>
    <w:rsid w:val="00D50A10"/>
    <w:rsid w:val="00D50E2E"/>
    <w:rsid w:val="00D53B3C"/>
    <w:rsid w:val="00D57FC2"/>
    <w:rsid w:val="00D64AA1"/>
    <w:rsid w:val="00D678D7"/>
    <w:rsid w:val="00D72D81"/>
    <w:rsid w:val="00D75B05"/>
    <w:rsid w:val="00D86707"/>
    <w:rsid w:val="00D93147"/>
    <w:rsid w:val="00D93464"/>
    <w:rsid w:val="00D977FA"/>
    <w:rsid w:val="00DA03D8"/>
    <w:rsid w:val="00DA4A69"/>
    <w:rsid w:val="00DB5117"/>
    <w:rsid w:val="00DC73ED"/>
    <w:rsid w:val="00DE0B7A"/>
    <w:rsid w:val="00DE281A"/>
    <w:rsid w:val="00DF2940"/>
    <w:rsid w:val="00DF325C"/>
    <w:rsid w:val="00DF5868"/>
    <w:rsid w:val="00DF5CE4"/>
    <w:rsid w:val="00E034E7"/>
    <w:rsid w:val="00E06419"/>
    <w:rsid w:val="00E2476B"/>
    <w:rsid w:val="00E24F93"/>
    <w:rsid w:val="00E30959"/>
    <w:rsid w:val="00E33C5A"/>
    <w:rsid w:val="00E40271"/>
    <w:rsid w:val="00E429DC"/>
    <w:rsid w:val="00E43A0F"/>
    <w:rsid w:val="00E4476D"/>
    <w:rsid w:val="00E51991"/>
    <w:rsid w:val="00E51B34"/>
    <w:rsid w:val="00E51D04"/>
    <w:rsid w:val="00E56992"/>
    <w:rsid w:val="00E61B97"/>
    <w:rsid w:val="00E626C7"/>
    <w:rsid w:val="00E721D8"/>
    <w:rsid w:val="00E732F0"/>
    <w:rsid w:val="00E752FA"/>
    <w:rsid w:val="00E77853"/>
    <w:rsid w:val="00E834C4"/>
    <w:rsid w:val="00E83BE5"/>
    <w:rsid w:val="00E83BE8"/>
    <w:rsid w:val="00E907D2"/>
    <w:rsid w:val="00E93064"/>
    <w:rsid w:val="00E94376"/>
    <w:rsid w:val="00EA6043"/>
    <w:rsid w:val="00EA6938"/>
    <w:rsid w:val="00EA710D"/>
    <w:rsid w:val="00EA7D6E"/>
    <w:rsid w:val="00EB07E0"/>
    <w:rsid w:val="00EB263C"/>
    <w:rsid w:val="00EB6448"/>
    <w:rsid w:val="00ED4247"/>
    <w:rsid w:val="00ED6D91"/>
    <w:rsid w:val="00ED7252"/>
    <w:rsid w:val="00EE0B4E"/>
    <w:rsid w:val="00EE47C5"/>
    <w:rsid w:val="00EE6B49"/>
    <w:rsid w:val="00EE6ECF"/>
    <w:rsid w:val="00EF153A"/>
    <w:rsid w:val="00EF6C26"/>
    <w:rsid w:val="00F105B9"/>
    <w:rsid w:val="00F12CB7"/>
    <w:rsid w:val="00F14C8C"/>
    <w:rsid w:val="00F14D75"/>
    <w:rsid w:val="00F166E2"/>
    <w:rsid w:val="00F26D80"/>
    <w:rsid w:val="00F270DF"/>
    <w:rsid w:val="00F40BE5"/>
    <w:rsid w:val="00F42A63"/>
    <w:rsid w:val="00F4783F"/>
    <w:rsid w:val="00F51D9E"/>
    <w:rsid w:val="00F55FB1"/>
    <w:rsid w:val="00F61BFB"/>
    <w:rsid w:val="00F6722F"/>
    <w:rsid w:val="00F70CCD"/>
    <w:rsid w:val="00F71FA4"/>
    <w:rsid w:val="00F76FF5"/>
    <w:rsid w:val="00F81686"/>
    <w:rsid w:val="00F94F4B"/>
    <w:rsid w:val="00F9747A"/>
    <w:rsid w:val="00F9785C"/>
    <w:rsid w:val="00FB41BD"/>
    <w:rsid w:val="00FB7FFD"/>
    <w:rsid w:val="00FC2FD8"/>
    <w:rsid w:val="00FD121B"/>
    <w:rsid w:val="00FD2258"/>
    <w:rsid w:val="00FD556C"/>
    <w:rsid w:val="00FD71C2"/>
    <w:rsid w:val="00FD7DA8"/>
    <w:rsid w:val="00FE529F"/>
    <w:rsid w:val="00FF25A9"/>
    <w:rsid w:val="00FF2B44"/>
    <w:rsid w:val="01711185"/>
    <w:rsid w:val="01AD5C5D"/>
    <w:rsid w:val="037750BB"/>
    <w:rsid w:val="05553ECF"/>
    <w:rsid w:val="063C5361"/>
    <w:rsid w:val="07351E35"/>
    <w:rsid w:val="073A4880"/>
    <w:rsid w:val="073F20F3"/>
    <w:rsid w:val="07D9263E"/>
    <w:rsid w:val="08343A7B"/>
    <w:rsid w:val="08DA0DE9"/>
    <w:rsid w:val="09BB3324"/>
    <w:rsid w:val="0A70732F"/>
    <w:rsid w:val="0ABA1CC6"/>
    <w:rsid w:val="0CCB40F3"/>
    <w:rsid w:val="0E3475FA"/>
    <w:rsid w:val="0F683AC6"/>
    <w:rsid w:val="10570034"/>
    <w:rsid w:val="122E0B8D"/>
    <w:rsid w:val="13B34070"/>
    <w:rsid w:val="141C646D"/>
    <w:rsid w:val="150115A9"/>
    <w:rsid w:val="162B546B"/>
    <w:rsid w:val="16B90CA6"/>
    <w:rsid w:val="16E77A4D"/>
    <w:rsid w:val="179C2969"/>
    <w:rsid w:val="182421BB"/>
    <w:rsid w:val="187F336D"/>
    <w:rsid w:val="1A2131F0"/>
    <w:rsid w:val="1ABC2DC7"/>
    <w:rsid w:val="1BCD1019"/>
    <w:rsid w:val="1CB15B83"/>
    <w:rsid w:val="1CDA4C05"/>
    <w:rsid w:val="1CFA64DE"/>
    <w:rsid w:val="1D403AEB"/>
    <w:rsid w:val="1F5A231C"/>
    <w:rsid w:val="1FB6124B"/>
    <w:rsid w:val="1FC21A7B"/>
    <w:rsid w:val="2106091B"/>
    <w:rsid w:val="224C6559"/>
    <w:rsid w:val="22857CBD"/>
    <w:rsid w:val="238706CB"/>
    <w:rsid w:val="24752FF8"/>
    <w:rsid w:val="272B467B"/>
    <w:rsid w:val="27400025"/>
    <w:rsid w:val="27F64368"/>
    <w:rsid w:val="282E1BAE"/>
    <w:rsid w:val="28652F5F"/>
    <w:rsid w:val="289861EC"/>
    <w:rsid w:val="29174365"/>
    <w:rsid w:val="298452D1"/>
    <w:rsid w:val="29AE4AC9"/>
    <w:rsid w:val="2A9C744D"/>
    <w:rsid w:val="2EE70774"/>
    <w:rsid w:val="2F907D08"/>
    <w:rsid w:val="2FCC47E5"/>
    <w:rsid w:val="3056477C"/>
    <w:rsid w:val="30C71C9D"/>
    <w:rsid w:val="31BA5C46"/>
    <w:rsid w:val="320B376A"/>
    <w:rsid w:val="322F01BB"/>
    <w:rsid w:val="324665D3"/>
    <w:rsid w:val="32823567"/>
    <w:rsid w:val="33402553"/>
    <w:rsid w:val="33C7082B"/>
    <w:rsid w:val="34503A2D"/>
    <w:rsid w:val="354457B6"/>
    <w:rsid w:val="357E162B"/>
    <w:rsid w:val="36D12A46"/>
    <w:rsid w:val="376725BE"/>
    <w:rsid w:val="37AA013D"/>
    <w:rsid w:val="39FA18A3"/>
    <w:rsid w:val="3A0E54F5"/>
    <w:rsid w:val="3AB35E2C"/>
    <w:rsid w:val="3B6A67BC"/>
    <w:rsid w:val="3BE55BFF"/>
    <w:rsid w:val="3DAE5499"/>
    <w:rsid w:val="3DEB2C3F"/>
    <w:rsid w:val="3FB90124"/>
    <w:rsid w:val="40B945B1"/>
    <w:rsid w:val="41C71F20"/>
    <w:rsid w:val="42590BAA"/>
    <w:rsid w:val="4275541F"/>
    <w:rsid w:val="42E06D87"/>
    <w:rsid w:val="43C07C90"/>
    <w:rsid w:val="44377411"/>
    <w:rsid w:val="44E026CD"/>
    <w:rsid w:val="460D5AA6"/>
    <w:rsid w:val="472A6711"/>
    <w:rsid w:val="47FA6FB1"/>
    <w:rsid w:val="481D3D8B"/>
    <w:rsid w:val="498E1224"/>
    <w:rsid w:val="49ED42EF"/>
    <w:rsid w:val="4BE4642E"/>
    <w:rsid w:val="4C404AC1"/>
    <w:rsid w:val="4CFE6DE6"/>
    <w:rsid w:val="4D0A0CA0"/>
    <w:rsid w:val="4D795DA1"/>
    <w:rsid w:val="4D836D46"/>
    <w:rsid w:val="4DC607BE"/>
    <w:rsid w:val="4DC9572B"/>
    <w:rsid w:val="506E0731"/>
    <w:rsid w:val="5070722B"/>
    <w:rsid w:val="50E24F37"/>
    <w:rsid w:val="51145923"/>
    <w:rsid w:val="514A000A"/>
    <w:rsid w:val="51610B01"/>
    <w:rsid w:val="522E45CA"/>
    <w:rsid w:val="54143779"/>
    <w:rsid w:val="541509BD"/>
    <w:rsid w:val="54E343A6"/>
    <w:rsid w:val="55000776"/>
    <w:rsid w:val="5689497F"/>
    <w:rsid w:val="57F414B5"/>
    <w:rsid w:val="5AFB136E"/>
    <w:rsid w:val="5B07345C"/>
    <w:rsid w:val="5CDA2FD5"/>
    <w:rsid w:val="5CDF79EE"/>
    <w:rsid w:val="5CE96DFA"/>
    <w:rsid w:val="5DB3000C"/>
    <w:rsid w:val="608E2FF1"/>
    <w:rsid w:val="61310EE0"/>
    <w:rsid w:val="62DB0CB9"/>
    <w:rsid w:val="63327556"/>
    <w:rsid w:val="63E17F31"/>
    <w:rsid w:val="64E2425B"/>
    <w:rsid w:val="66161925"/>
    <w:rsid w:val="688F34E2"/>
    <w:rsid w:val="69BA52A0"/>
    <w:rsid w:val="6A0E27C8"/>
    <w:rsid w:val="6A7A1A53"/>
    <w:rsid w:val="6AC83D41"/>
    <w:rsid w:val="6B1113A0"/>
    <w:rsid w:val="6BCD789C"/>
    <w:rsid w:val="6DD426EE"/>
    <w:rsid w:val="7291470A"/>
    <w:rsid w:val="73270882"/>
    <w:rsid w:val="74B50806"/>
    <w:rsid w:val="75071439"/>
    <w:rsid w:val="75774CB7"/>
    <w:rsid w:val="76217A73"/>
    <w:rsid w:val="76975769"/>
    <w:rsid w:val="76F01837"/>
    <w:rsid w:val="784C14DE"/>
    <w:rsid w:val="790471D9"/>
    <w:rsid w:val="79206F6D"/>
    <w:rsid w:val="7A116D3C"/>
    <w:rsid w:val="7A303943"/>
    <w:rsid w:val="7AA976FD"/>
    <w:rsid w:val="7AE446F6"/>
    <w:rsid w:val="7B8B7E65"/>
    <w:rsid w:val="7CCE73C9"/>
    <w:rsid w:val="7CD02256"/>
    <w:rsid w:val="7FD05249"/>
    <w:rsid w:val="EFDB7D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2"/>
    <w:link w:val="28"/>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29"/>
    <w:unhideWhenUsed/>
    <w:qFormat/>
    <w:uiPriority w:val="0"/>
    <w:pPr>
      <w:spacing w:beforeAutospacing="1" w:afterAutospacing="1"/>
      <w:jc w:val="left"/>
      <w:outlineLvl w:val="1"/>
    </w:pPr>
    <w:rPr>
      <w:rFonts w:hint="eastAsia" w:ascii="宋体" w:hAnsi="宋体" w:eastAsia="宋体" w:cs="Times New Roman"/>
      <w:kern w:val="0"/>
      <w:sz w:val="36"/>
      <w:szCs w:val="36"/>
    </w:rPr>
  </w:style>
  <w:style w:type="paragraph" w:styleId="4">
    <w:name w:val="heading 3"/>
    <w:basedOn w:val="2"/>
    <w:next w:val="5"/>
    <w:unhideWhenUsed/>
    <w:qFormat/>
    <w:uiPriority w:val="0"/>
    <w:pPr>
      <w:spacing w:beforeAutospacing="1" w:afterAutospacing="1"/>
      <w:jc w:val="left"/>
      <w:outlineLvl w:val="2"/>
    </w:pPr>
    <w:rPr>
      <w:rFonts w:hint="eastAsia" w:ascii="宋体" w:hAnsi="宋体" w:eastAsia="宋体" w:cs="Times New Roman"/>
      <w:kern w:val="0"/>
      <w:sz w:val="27"/>
      <w:szCs w:val="27"/>
    </w:rPr>
  </w:style>
  <w:style w:type="paragraph" w:styleId="5">
    <w:name w:val="heading 4"/>
    <w:basedOn w:val="4"/>
    <w:next w:val="6"/>
    <w:qFormat/>
    <w:uiPriority w:val="9"/>
    <w:pPr>
      <w:numPr>
        <w:ilvl w:val="0"/>
        <w:numId w:val="1"/>
      </w:numPr>
      <w:outlineLvl w:val="3"/>
    </w:pPr>
    <w:rPr>
      <w:rFonts w:ascii="仿宋_GB2312" w:hAnsi="宋体" w:eastAsia="仿宋_GB2312"/>
      <w:szCs w:val="28"/>
    </w:rPr>
  </w:style>
  <w:style w:type="paragraph" w:styleId="6">
    <w:name w:val="heading 5"/>
    <w:basedOn w:val="5"/>
    <w:next w:val="7"/>
    <w:qFormat/>
    <w:uiPriority w:val="9"/>
    <w:pPr>
      <w:numPr>
        <w:ilvl w:val="4"/>
        <w:numId w:val="2"/>
      </w:numPr>
      <w:outlineLvl w:val="4"/>
    </w:pPr>
  </w:style>
  <w:style w:type="paragraph" w:styleId="7">
    <w:name w:val="heading 6"/>
    <w:basedOn w:val="1"/>
    <w:next w:val="1"/>
    <w:qFormat/>
    <w:uiPriority w:val="0"/>
    <w:pPr>
      <w:keepNext/>
      <w:keepLines/>
      <w:numPr>
        <w:ilvl w:val="5"/>
        <w:numId w:val="2"/>
      </w:numPr>
      <w:ind w:right="100" w:rightChars="100"/>
      <w:outlineLvl w:val="5"/>
    </w:pPr>
    <w:rPr>
      <w:rFonts w:ascii="宋体" w:hAnsi="Cambria"/>
      <w:b/>
      <w:bCs/>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link w:val="40"/>
    <w:semiHidden/>
    <w:unhideWhenUsed/>
    <w:qFormat/>
    <w:uiPriority w:val="0"/>
    <w:pPr>
      <w:jc w:val="left"/>
    </w:pPr>
  </w:style>
  <w:style w:type="paragraph" w:styleId="9">
    <w:name w:val="Body Text"/>
    <w:basedOn w:val="1"/>
    <w:next w:val="1"/>
    <w:qFormat/>
    <w:uiPriority w:val="0"/>
    <w:pPr>
      <w:spacing w:line="380" w:lineRule="exact"/>
    </w:pPr>
    <w:rPr>
      <w:sz w:val="24"/>
    </w:rPr>
  </w:style>
  <w:style w:type="paragraph" w:styleId="10">
    <w:name w:val="Plain Text"/>
    <w:basedOn w:val="1"/>
    <w:qFormat/>
    <w:uiPriority w:val="0"/>
    <w:rPr>
      <w:rFonts w:ascii="宋体" w:hAnsi="Courier New"/>
      <w:szCs w:val="20"/>
    </w:rPr>
  </w:style>
  <w:style w:type="paragraph" w:styleId="11">
    <w:name w:val="Balloon Text"/>
    <w:basedOn w:val="1"/>
    <w:link w:val="35"/>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39"/>
  </w:style>
  <w:style w:type="paragraph" w:styleId="15">
    <w:name w:val="Subtitle"/>
    <w:basedOn w:val="1"/>
    <w:next w:val="1"/>
    <w:link w:val="48"/>
    <w:qFormat/>
    <w:uiPriority w:val="0"/>
    <w:pPr>
      <w:spacing w:before="240" w:after="60" w:line="312" w:lineRule="auto"/>
      <w:jc w:val="center"/>
      <w:outlineLvl w:val="1"/>
    </w:pPr>
    <w:rPr>
      <w:rFonts w:ascii="Cambria" w:hAnsi="Cambria" w:cs="Times New Roman"/>
      <w:b/>
      <w:bCs/>
      <w:kern w:val="28"/>
      <w:sz w:val="32"/>
      <w:szCs w:val="32"/>
    </w:rPr>
  </w:style>
  <w:style w:type="paragraph" w:styleId="16">
    <w:name w:val="toc 2"/>
    <w:basedOn w:val="1"/>
    <w:next w:val="1"/>
    <w:qFormat/>
    <w:uiPriority w:val="0"/>
    <w:pPr>
      <w:ind w:left="420" w:leftChars="200"/>
    </w:pPr>
  </w:style>
  <w:style w:type="paragraph" w:styleId="17">
    <w:name w:val="Normal (Web)"/>
    <w:basedOn w:val="1"/>
    <w:qFormat/>
    <w:uiPriority w:val="0"/>
    <w:pPr>
      <w:spacing w:beforeAutospacing="1" w:afterAutospacing="1"/>
      <w:jc w:val="left"/>
    </w:pPr>
    <w:rPr>
      <w:rFonts w:cs="Times New Roman"/>
      <w:kern w:val="0"/>
      <w:sz w:val="24"/>
    </w:rPr>
  </w:style>
  <w:style w:type="paragraph" w:styleId="18">
    <w:name w:val="annotation subject"/>
    <w:basedOn w:val="8"/>
    <w:next w:val="8"/>
    <w:link w:val="41"/>
    <w:semiHidden/>
    <w:unhideWhenUsed/>
    <w:qFormat/>
    <w:uiPriority w:val="0"/>
    <w:rPr>
      <w:b/>
      <w:bCs/>
    </w:rPr>
  </w:style>
  <w:style w:type="paragraph" w:styleId="19">
    <w:name w:val="Body Text First Indent"/>
    <w:basedOn w:val="9"/>
    <w:next w:val="1"/>
    <w:unhideWhenUsed/>
    <w:qFormat/>
    <w:uiPriority w:val="99"/>
    <w:pPr>
      <w:tabs>
        <w:tab w:val="left" w:pos="1277"/>
      </w:tabs>
      <w:ind w:firstLine="420" w:firstLineChars="100"/>
    </w:pPr>
  </w:style>
  <w:style w:type="table" w:styleId="21">
    <w:name w:val="Table Grid"/>
    <w:basedOn w:val="20"/>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3">
    <w:name w:val="Strong"/>
    <w:basedOn w:val="22"/>
    <w:qFormat/>
    <w:uiPriority w:val="0"/>
    <w:rPr>
      <w:b/>
    </w:rPr>
  </w:style>
  <w:style w:type="character" w:styleId="24">
    <w:name w:val="page number"/>
    <w:basedOn w:val="22"/>
    <w:qFormat/>
    <w:uiPriority w:val="0"/>
  </w:style>
  <w:style w:type="character" w:styleId="25">
    <w:name w:val="Emphasis"/>
    <w:basedOn w:val="22"/>
    <w:qFormat/>
    <w:uiPriority w:val="0"/>
    <w:rPr>
      <w:i/>
    </w:rPr>
  </w:style>
  <w:style w:type="character" w:styleId="26">
    <w:name w:val="Hyperlink"/>
    <w:qFormat/>
    <w:uiPriority w:val="99"/>
    <w:rPr>
      <w:color w:val="0000EE"/>
      <w:u w:val="none"/>
    </w:rPr>
  </w:style>
  <w:style w:type="character" w:styleId="27">
    <w:name w:val="annotation reference"/>
    <w:basedOn w:val="22"/>
    <w:semiHidden/>
    <w:unhideWhenUsed/>
    <w:qFormat/>
    <w:uiPriority w:val="0"/>
    <w:rPr>
      <w:sz w:val="21"/>
      <w:szCs w:val="21"/>
    </w:rPr>
  </w:style>
  <w:style w:type="character" w:customStyle="1" w:styleId="28">
    <w:name w:val="标题 1 Char"/>
    <w:basedOn w:val="22"/>
    <w:link w:val="3"/>
    <w:qFormat/>
    <w:uiPriority w:val="0"/>
    <w:rPr>
      <w:rFonts w:asciiTheme="minorHAnsi" w:hAnsiTheme="minorHAnsi" w:eastAsiaTheme="minorEastAsia" w:cstheme="minorBidi"/>
      <w:b/>
      <w:bCs/>
      <w:kern w:val="44"/>
      <w:sz w:val="44"/>
      <w:szCs w:val="44"/>
    </w:rPr>
  </w:style>
  <w:style w:type="character" w:customStyle="1" w:styleId="29">
    <w:name w:val="标题 2 Char"/>
    <w:link w:val="2"/>
    <w:qFormat/>
    <w:uiPriority w:val="0"/>
    <w:rPr>
      <w:rFonts w:hint="eastAsia" w:ascii="宋体" w:hAnsi="宋体" w:eastAsia="宋体" w:cs="Times New Roman"/>
      <w:b/>
      <w:bCs/>
      <w:kern w:val="0"/>
      <w:sz w:val="36"/>
      <w:szCs w:val="36"/>
    </w:rPr>
  </w:style>
  <w:style w:type="paragraph" w:customStyle="1" w:styleId="30">
    <w:name w:val="目录 91"/>
    <w:basedOn w:val="1"/>
    <w:next w:val="1"/>
    <w:qFormat/>
    <w:uiPriority w:val="0"/>
    <w:pPr>
      <w:ind w:left="1680"/>
    </w:pPr>
    <w:rPr>
      <w:sz w:val="18"/>
    </w:rPr>
  </w:style>
  <w:style w:type="character" w:customStyle="1" w:styleId="31">
    <w:name w:val="active"/>
    <w:basedOn w:val="22"/>
    <w:qFormat/>
    <w:uiPriority w:val="0"/>
    <w:rPr>
      <w:shd w:val="clear" w:color="auto" w:fill="EC3535"/>
    </w:rPr>
  </w:style>
  <w:style w:type="paragraph" w:customStyle="1" w:styleId="32">
    <w:name w:val="无间隔1"/>
    <w:qFormat/>
    <w:uiPriority w:val="99"/>
    <w:pPr>
      <w:adjustRightInd w:val="0"/>
      <w:snapToGrid w:val="0"/>
    </w:pPr>
    <w:rPr>
      <w:rFonts w:ascii="Tahoma" w:hAnsi="Tahoma" w:eastAsia="微软雅黑" w:cs="Tahoma"/>
      <w:sz w:val="22"/>
      <w:szCs w:val="22"/>
      <w:lang w:val="en-US" w:eastAsia="zh-CN" w:bidi="ar-SA"/>
    </w:r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5">
    <w:name w:val="批注框文本 Char"/>
    <w:basedOn w:val="22"/>
    <w:link w:val="11"/>
    <w:qFormat/>
    <w:uiPriority w:val="0"/>
    <w:rPr>
      <w:rFonts w:asciiTheme="minorHAnsi" w:hAnsiTheme="minorHAnsi" w:eastAsiaTheme="minorEastAsia" w:cstheme="minorBidi"/>
      <w:kern w:val="2"/>
      <w:sz w:val="18"/>
      <w:szCs w:val="18"/>
    </w:rPr>
  </w:style>
  <w:style w:type="character" w:customStyle="1" w:styleId="36">
    <w:name w:val="列出段落 Char"/>
    <w:link w:val="37"/>
    <w:qFormat/>
    <w:uiPriority w:val="0"/>
    <w:rPr>
      <w:rFonts w:ascii="Calibri" w:hAnsi="Calibri"/>
      <w:kern w:val="2"/>
      <w:sz w:val="21"/>
      <w:szCs w:val="22"/>
    </w:rPr>
  </w:style>
  <w:style w:type="paragraph" w:styleId="37">
    <w:name w:val="List Paragraph"/>
    <w:basedOn w:val="1"/>
    <w:link w:val="36"/>
    <w:qFormat/>
    <w:uiPriority w:val="34"/>
    <w:pPr>
      <w:ind w:firstLine="420" w:firstLineChars="200"/>
    </w:pPr>
    <w:rPr>
      <w:rFonts w:ascii="Calibri" w:hAnsi="Calibri" w:eastAsia="宋体" w:cs="Times New Roman"/>
      <w:szCs w:val="22"/>
    </w:rPr>
  </w:style>
  <w:style w:type="paragraph" w:customStyle="1" w:styleId="38">
    <w:name w:val="paragraph"/>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9">
    <w:name w:val="w"/>
    <w:basedOn w:val="1"/>
    <w:qFormat/>
    <w:uiPriority w:val="0"/>
    <w:pPr>
      <w:widowControl/>
      <w:spacing w:before="100" w:beforeAutospacing="1" w:after="100" w:afterAutospacing="1" w:line="375" w:lineRule="atLeast"/>
      <w:jc w:val="left"/>
    </w:pPr>
    <w:rPr>
      <w:rFonts w:ascii="宋体" w:hAnsi="宋体" w:eastAsia="宋体" w:cs="Times New Roman"/>
      <w:color w:val="000000"/>
      <w:kern w:val="0"/>
      <w:sz w:val="24"/>
    </w:rPr>
  </w:style>
  <w:style w:type="character" w:customStyle="1" w:styleId="40">
    <w:name w:val="批注文字 Char"/>
    <w:basedOn w:val="22"/>
    <w:link w:val="8"/>
    <w:semiHidden/>
    <w:qFormat/>
    <w:uiPriority w:val="0"/>
    <w:rPr>
      <w:rFonts w:asciiTheme="minorHAnsi" w:hAnsiTheme="minorHAnsi" w:eastAsiaTheme="minorEastAsia" w:cstheme="minorBidi"/>
      <w:kern w:val="2"/>
      <w:sz w:val="21"/>
      <w:szCs w:val="24"/>
    </w:rPr>
  </w:style>
  <w:style w:type="character" w:customStyle="1" w:styleId="41">
    <w:name w:val="批注主题 Char"/>
    <w:basedOn w:val="40"/>
    <w:link w:val="18"/>
    <w:semiHidden/>
    <w:qFormat/>
    <w:uiPriority w:val="0"/>
    <w:rPr>
      <w:rFonts w:asciiTheme="minorHAnsi" w:hAnsiTheme="minorHAnsi" w:eastAsiaTheme="minorEastAsia" w:cstheme="minorBidi"/>
      <w:b/>
      <w:bCs/>
      <w:kern w:val="2"/>
      <w:sz w:val="21"/>
      <w:szCs w:val="24"/>
    </w:rPr>
  </w:style>
  <w:style w:type="paragraph" w:customStyle="1" w:styleId="42">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43">
    <w:name w:val="null3"/>
    <w:hidden/>
    <w:qFormat/>
    <w:uiPriority w:val="0"/>
    <w:rPr>
      <w:rFonts w:hint="eastAsia" w:asciiTheme="minorHAnsi" w:hAnsiTheme="minorHAnsi" w:eastAsiaTheme="minorEastAsia" w:cstheme="minorBidi"/>
      <w:lang w:val="en-US" w:eastAsia="zh-Hans"/>
    </w:rPr>
  </w:style>
  <w:style w:type="character" w:customStyle="1" w:styleId="44">
    <w:name w:val="font21"/>
    <w:basedOn w:val="22"/>
    <w:qFormat/>
    <w:uiPriority w:val="0"/>
    <w:rPr>
      <w:rFonts w:hint="eastAsia" w:ascii="微软雅黑" w:hAnsi="微软雅黑" w:eastAsia="微软雅黑" w:cs="微软雅黑"/>
      <w:color w:val="000000"/>
      <w:sz w:val="20"/>
      <w:szCs w:val="20"/>
      <w:u w:val="none"/>
    </w:rPr>
  </w:style>
  <w:style w:type="paragraph" w:customStyle="1" w:styleId="45">
    <w:name w:val="正文文本首行缩进 21"/>
    <w:basedOn w:val="46"/>
    <w:qFormat/>
    <w:uiPriority w:val="0"/>
    <w:pPr>
      <w:ind w:firstLine="420"/>
    </w:pPr>
    <w:rPr>
      <w:rFonts w:cs="宋体"/>
    </w:rPr>
  </w:style>
  <w:style w:type="paragraph" w:customStyle="1" w:styleId="46">
    <w:name w:val="正文文本缩进1"/>
    <w:basedOn w:val="1"/>
    <w:next w:val="1"/>
    <w:qFormat/>
    <w:uiPriority w:val="0"/>
    <w:pPr>
      <w:spacing w:after="120"/>
      <w:ind w:left="420" w:leftChars="200"/>
    </w:pPr>
    <w:rPr>
      <w:color w:val="000000"/>
      <w:szCs w:val="21"/>
    </w:rPr>
  </w:style>
  <w:style w:type="paragraph" w:customStyle="1" w:styleId="47">
    <w:name w:val="L正文"/>
    <w:basedOn w:val="1"/>
    <w:qFormat/>
    <w:uiPriority w:val="0"/>
    <w:pPr>
      <w:autoSpaceDE w:val="0"/>
      <w:autoSpaceDN w:val="0"/>
      <w:adjustRightInd w:val="0"/>
      <w:spacing w:line="360" w:lineRule="auto"/>
      <w:ind w:firstLine="200" w:firstLineChars="200"/>
    </w:pPr>
    <w:rPr>
      <w:rFonts w:ascii="宋体" w:hAnsi="宋体"/>
      <w:kern w:val="0"/>
      <w:sz w:val="28"/>
      <w:szCs w:val="28"/>
    </w:rPr>
  </w:style>
  <w:style w:type="character" w:customStyle="1" w:styleId="48">
    <w:name w:val="副标题 Char"/>
    <w:basedOn w:val="22"/>
    <w:link w:val="15"/>
    <w:qFormat/>
    <w:uiPriority w:val="0"/>
    <w:rPr>
      <w:rFonts w:ascii="Cambria" w:hAnsi="Cambria" w:cs="Times New Roman"/>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65</Pages>
  <Words>42191</Words>
  <Characters>44178</Characters>
  <Lines>329</Lines>
  <Paragraphs>92</Paragraphs>
  <TotalTime>0</TotalTime>
  <ScaleCrop>false</ScaleCrop>
  <LinksUpToDate>false</LinksUpToDate>
  <CharactersWithSpaces>45253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2022-07-18T20:21:00Z</dcterms:created>
  <dc:creator>Administrator</dc:creator>
  <cp:lastModifiedBy>WPS_1660098805</cp:lastModifiedBy>
  <cp:lastPrinted>2022-05-18T16:26:00Z</cp:lastPrinted>
  <dcterms:modified xsi:type="dcterms:W3CDTF">2023-07-17T08:58:43Z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9E96E6D9992B42609A20720B46685896_13</vt:lpwstr>
  </property>
</Properties>
</file>